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B4D72">
      <w:pPr>
        <w:pStyle w:val="5"/>
        <w:snapToGrid w:val="0"/>
        <w:spacing w:before="156" w:after="156" w:line="480" w:lineRule="auto"/>
        <w:jc w:val="center"/>
        <w:outlineLvl w:val="0"/>
        <w:rPr>
          <w:rFonts w:hint="default" w:hAnsi="宋体" w:cs="宋体"/>
          <w:b/>
          <w:sz w:val="30"/>
          <w:szCs w:val="30"/>
          <w:lang w:val="en-US"/>
        </w:rPr>
      </w:pPr>
      <w:r>
        <w:rPr>
          <w:rFonts w:hint="eastAsia" w:hAnsi="宋体" w:cs="宋体"/>
          <w:b/>
          <w:sz w:val="30"/>
          <w:szCs w:val="30"/>
          <w:lang w:val="en-US" w:eastAsia="zh-CN"/>
        </w:rPr>
        <w:t>杭州市第一人民医院桐庐医院年度基建工程监理服务项目调研公告</w:t>
      </w:r>
    </w:p>
    <w:p w14:paraId="70A47A85">
      <w:pPr>
        <w:pStyle w:val="4"/>
        <w:spacing w:line="480" w:lineRule="auto"/>
        <w:ind w:firstLine="464" w:firstLineChars="200"/>
        <w:rPr>
          <w:rFonts w:hint="default" w:hAnsi="宋体" w:cs="宋体"/>
          <w:sz w:val="24"/>
        </w:rPr>
      </w:pPr>
      <w:r>
        <w:rPr>
          <w:rFonts w:hAnsi="宋体" w:cs="宋体"/>
          <w:sz w:val="24"/>
          <w:u w:val="single"/>
        </w:rPr>
        <w:t>杭州市第一人民医院</w:t>
      </w:r>
      <w:r>
        <w:rPr>
          <w:rFonts w:hint="eastAsia" w:hAnsi="宋体" w:cs="宋体"/>
          <w:sz w:val="24"/>
          <w:u w:val="single"/>
          <w:lang w:val="en-US" w:eastAsia="zh-CN"/>
        </w:rPr>
        <w:t xml:space="preserve">桐庐医院 </w:t>
      </w:r>
      <w:r>
        <w:rPr>
          <w:rFonts w:hAnsi="宋体" w:cs="宋体"/>
          <w:sz w:val="24"/>
        </w:rPr>
        <w:t>关于</w:t>
      </w:r>
      <w:r>
        <w:rPr>
          <w:rFonts w:hint="eastAsia" w:hAnsi="宋体" w:cs="宋体"/>
          <w:sz w:val="24"/>
          <w:u w:val="single"/>
          <w:lang w:val="en-US" w:eastAsia="zh-CN"/>
        </w:rPr>
        <w:t>年度基建工程监理服务项目</w:t>
      </w:r>
      <w:r>
        <w:rPr>
          <w:rFonts w:hint="eastAsia" w:hAnsi="宋体" w:cs="宋体"/>
          <w:sz w:val="24"/>
          <w:u w:val="none"/>
          <w:lang w:val="en-US" w:eastAsia="zh-CN"/>
        </w:rPr>
        <w:t>采购</w:t>
      </w:r>
      <w:r>
        <w:rPr>
          <w:rFonts w:hAnsi="宋体" w:cs="宋体"/>
          <w:sz w:val="24"/>
        </w:rPr>
        <w:t>项目</w:t>
      </w:r>
      <w:r>
        <w:rPr>
          <w:rFonts w:hint="eastAsia" w:hAnsi="宋体" w:cs="宋体"/>
          <w:sz w:val="24"/>
          <w:lang w:val="en-US" w:eastAsia="zh-CN"/>
        </w:rPr>
        <w:t>调研</w:t>
      </w:r>
      <w:r>
        <w:rPr>
          <w:rFonts w:hAnsi="宋体" w:cs="宋体"/>
          <w:sz w:val="24"/>
        </w:rPr>
        <w:t>公告，欢迎国内符合要求的供应商前来参加</w:t>
      </w:r>
      <w:r>
        <w:rPr>
          <w:rFonts w:hint="eastAsia" w:hAnsi="宋体" w:cs="宋体"/>
          <w:sz w:val="24"/>
          <w:lang w:val="en-US" w:eastAsia="zh-CN"/>
        </w:rPr>
        <w:t>调研</w:t>
      </w:r>
      <w:r>
        <w:rPr>
          <w:rFonts w:hAnsi="宋体" w:cs="宋体"/>
          <w:sz w:val="24"/>
        </w:rPr>
        <w:t>。</w:t>
      </w:r>
    </w:p>
    <w:p w14:paraId="41073CA9">
      <w:pPr>
        <w:pStyle w:val="4"/>
        <w:spacing w:line="480" w:lineRule="auto"/>
        <w:ind w:firstLine="464" w:firstLineChars="200"/>
        <w:rPr>
          <w:rFonts w:hAnsi="宋体" w:cs="宋体"/>
          <w:sz w:val="24"/>
          <w:lang w:eastAsia="zh-CN"/>
        </w:rPr>
      </w:pPr>
    </w:p>
    <w:p w14:paraId="2A551073">
      <w:pPr>
        <w:pStyle w:val="4"/>
        <w:numPr>
          <w:ilvl w:val="0"/>
          <w:numId w:val="1"/>
        </w:numPr>
        <w:spacing w:line="480" w:lineRule="auto"/>
        <w:ind w:firstLine="0"/>
        <w:rPr>
          <w:rFonts w:hAnsi="宋体" w:cs="宋体"/>
          <w:sz w:val="24"/>
        </w:rPr>
      </w:pPr>
      <w:r>
        <w:rPr>
          <w:rFonts w:hAnsi="宋体" w:cs="宋体"/>
          <w:sz w:val="24"/>
        </w:rPr>
        <w:t>采购项目概况（内容、用途、数量、简要技术要求等）：</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5"/>
        <w:gridCol w:w="2998"/>
        <w:gridCol w:w="1295"/>
        <w:gridCol w:w="2851"/>
      </w:tblGrid>
      <w:tr w14:paraId="1A692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07" w:type="pct"/>
            <w:vAlign w:val="center"/>
          </w:tcPr>
          <w:p w14:paraId="0FE04559">
            <w:pPr>
              <w:pStyle w:val="4"/>
              <w:spacing w:line="480" w:lineRule="auto"/>
              <w:ind w:firstLine="0"/>
              <w:jc w:val="center"/>
              <w:rPr>
                <w:rFonts w:hAnsi="宋体" w:cs="宋体"/>
                <w:b/>
                <w:kern w:val="2"/>
                <w:sz w:val="24"/>
                <w:lang w:val="en-US" w:eastAsia="zh-CN"/>
              </w:rPr>
            </w:pPr>
            <w:r>
              <w:rPr>
                <w:rFonts w:hint="eastAsia" w:hAnsi="宋体" w:cs="宋体"/>
                <w:b/>
                <w:kern w:val="2"/>
                <w:sz w:val="24"/>
                <w:lang w:val="en-US" w:eastAsia="zh-CN"/>
              </w:rPr>
              <w:t>项目</w:t>
            </w:r>
            <w:r>
              <w:rPr>
                <w:rFonts w:hAnsi="宋体" w:cs="宋体"/>
                <w:b/>
                <w:kern w:val="2"/>
                <w:sz w:val="24"/>
                <w:lang w:val="en-US" w:eastAsia="zh-CN"/>
              </w:rPr>
              <w:t>序号</w:t>
            </w:r>
          </w:p>
        </w:tc>
        <w:tc>
          <w:tcPr>
            <w:tcW w:w="1759" w:type="pct"/>
            <w:vAlign w:val="center"/>
          </w:tcPr>
          <w:p w14:paraId="01941B25">
            <w:pPr>
              <w:pStyle w:val="4"/>
              <w:spacing w:line="480" w:lineRule="auto"/>
              <w:ind w:firstLine="0"/>
              <w:jc w:val="center"/>
              <w:rPr>
                <w:rFonts w:hAnsi="宋体" w:cs="宋体"/>
                <w:b/>
                <w:kern w:val="2"/>
                <w:sz w:val="24"/>
                <w:lang w:val="en-US" w:eastAsia="zh-CN"/>
              </w:rPr>
            </w:pPr>
            <w:r>
              <w:rPr>
                <w:rStyle w:val="10"/>
                <w:rFonts w:hint="eastAsia" w:ascii="宋体" w:hAnsi="宋体" w:eastAsia="宋体" w:cs="宋体"/>
                <w:sz w:val="27"/>
                <w:szCs w:val="27"/>
                <w:vertAlign w:val="baseline"/>
              </w:rPr>
              <w:t>标项名称</w:t>
            </w:r>
          </w:p>
        </w:tc>
        <w:tc>
          <w:tcPr>
            <w:tcW w:w="760" w:type="pct"/>
            <w:vAlign w:val="center"/>
          </w:tcPr>
          <w:p w14:paraId="12578B0E">
            <w:pPr>
              <w:pStyle w:val="4"/>
              <w:spacing w:line="480" w:lineRule="auto"/>
              <w:ind w:firstLine="0"/>
              <w:jc w:val="center"/>
              <w:rPr>
                <w:rFonts w:hint="default" w:hAnsi="宋体" w:cs="宋体"/>
                <w:b/>
                <w:kern w:val="2"/>
                <w:sz w:val="24"/>
                <w:lang w:val="en-US" w:eastAsia="zh-CN"/>
              </w:rPr>
            </w:pPr>
            <w:r>
              <w:rPr>
                <w:rFonts w:hint="eastAsia" w:hAnsi="宋体" w:cs="宋体"/>
                <w:b/>
                <w:kern w:val="2"/>
                <w:sz w:val="24"/>
                <w:lang w:val="en-US" w:eastAsia="zh-CN"/>
              </w:rPr>
              <w:t>预算金额（万元）</w:t>
            </w:r>
          </w:p>
        </w:tc>
        <w:tc>
          <w:tcPr>
            <w:tcW w:w="1673" w:type="pct"/>
            <w:vAlign w:val="center"/>
          </w:tcPr>
          <w:p w14:paraId="47598DF5">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简要技术描述或</w:t>
            </w:r>
          </w:p>
          <w:p w14:paraId="6FD2461A">
            <w:pPr>
              <w:pStyle w:val="4"/>
              <w:spacing w:line="480" w:lineRule="auto"/>
              <w:ind w:firstLine="0"/>
              <w:jc w:val="center"/>
              <w:rPr>
                <w:rFonts w:hAnsi="宋体" w:cs="宋体"/>
                <w:b/>
                <w:kern w:val="2"/>
                <w:sz w:val="24"/>
                <w:lang w:val="en-US" w:eastAsia="zh-CN"/>
              </w:rPr>
            </w:pPr>
            <w:r>
              <w:rPr>
                <w:rFonts w:hAnsi="宋体" w:cs="宋体"/>
                <w:b/>
                <w:kern w:val="2"/>
                <w:sz w:val="24"/>
                <w:lang w:val="en-US" w:eastAsia="zh-CN"/>
              </w:rPr>
              <w:t>基本概况介绍</w:t>
            </w:r>
          </w:p>
        </w:tc>
      </w:tr>
      <w:tr w14:paraId="41C6A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07" w:type="pct"/>
            <w:vAlign w:val="center"/>
          </w:tcPr>
          <w:p w14:paraId="07C67D5C">
            <w:pPr>
              <w:pStyle w:val="4"/>
              <w:spacing w:line="480" w:lineRule="auto"/>
              <w:ind w:firstLine="0"/>
              <w:jc w:val="center"/>
              <w:rPr>
                <w:rFonts w:hint="default" w:hAnsi="宋体" w:cs="宋体"/>
                <w:kern w:val="2"/>
                <w:sz w:val="24"/>
                <w:lang w:val="en-US" w:eastAsia="zh-CN"/>
              </w:rPr>
            </w:pPr>
            <w:r>
              <w:rPr>
                <w:rFonts w:hint="eastAsia" w:hAnsi="宋体" w:cs="宋体"/>
                <w:kern w:val="2"/>
                <w:sz w:val="24"/>
                <w:lang w:val="en-US" w:eastAsia="zh-CN"/>
              </w:rPr>
              <w:t>1</w:t>
            </w:r>
          </w:p>
        </w:tc>
        <w:tc>
          <w:tcPr>
            <w:tcW w:w="1759" w:type="pct"/>
            <w:vAlign w:val="center"/>
          </w:tcPr>
          <w:p w14:paraId="6F73D0B0">
            <w:pPr>
              <w:pStyle w:val="4"/>
              <w:spacing w:line="480" w:lineRule="auto"/>
              <w:ind w:firstLine="0"/>
              <w:jc w:val="center"/>
              <w:rPr>
                <w:rFonts w:hAnsi="宋体" w:eastAsia="宋体" w:cs="宋体"/>
                <w:kern w:val="2"/>
                <w:sz w:val="24"/>
                <w:lang w:val="en-US" w:eastAsia="zh-CN"/>
              </w:rPr>
            </w:pPr>
            <w:r>
              <w:rPr>
                <w:rFonts w:hAnsi="宋体" w:eastAsia="宋体" w:cs="宋体"/>
                <w:kern w:val="2"/>
                <w:sz w:val="24"/>
                <w:lang w:val="en-US" w:eastAsia="zh-CN"/>
              </w:rPr>
              <w:t>年度基建工程监理服务</w:t>
            </w:r>
          </w:p>
          <w:p w14:paraId="0AD3D8ED">
            <w:pPr>
              <w:pStyle w:val="4"/>
              <w:spacing w:line="480" w:lineRule="auto"/>
              <w:ind w:firstLine="0"/>
              <w:jc w:val="center"/>
              <w:rPr>
                <w:rFonts w:hint="default" w:hAnsi="宋体" w:cs="宋体"/>
                <w:sz w:val="24"/>
                <w:u w:val="none"/>
                <w:lang w:val="en-US" w:eastAsia="zh-CN"/>
              </w:rPr>
            </w:pPr>
            <w:r>
              <w:rPr>
                <w:rFonts w:hint="eastAsia" w:hAnsi="宋体" w:eastAsia="宋体" w:cs="宋体"/>
                <w:kern w:val="2"/>
                <w:sz w:val="24"/>
                <w:lang w:val="en-US" w:eastAsia="zh-CN"/>
              </w:rPr>
              <w:t>项目</w:t>
            </w:r>
          </w:p>
        </w:tc>
        <w:tc>
          <w:tcPr>
            <w:tcW w:w="760" w:type="pct"/>
            <w:vAlign w:val="center"/>
          </w:tcPr>
          <w:p w14:paraId="425B51C7">
            <w:pPr>
              <w:pStyle w:val="4"/>
              <w:spacing w:line="480" w:lineRule="auto"/>
              <w:ind w:firstLine="0"/>
              <w:jc w:val="center"/>
              <w:rPr>
                <w:rFonts w:hint="default" w:hAnsi="宋体" w:cs="宋体"/>
                <w:sz w:val="24"/>
                <w:u w:val="none"/>
                <w:lang w:val="en-US" w:eastAsia="zh-CN"/>
              </w:rPr>
            </w:pPr>
            <w:r>
              <w:rPr>
                <w:rFonts w:hint="eastAsia" w:hAnsi="宋体" w:cs="宋体"/>
                <w:sz w:val="24"/>
                <w:u w:val="none"/>
                <w:lang w:val="en-US" w:eastAsia="zh-CN"/>
              </w:rPr>
              <w:t>15</w:t>
            </w:r>
          </w:p>
        </w:tc>
        <w:tc>
          <w:tcPr>
            <w:tcW w:w="1673" w:type="pct"/>
            <w:vAlign w:val="center"/>
          </w:tcPr>
          <w:p w14:paraId="15D75869">
            <w:pPr>
              <w:pStyle w:val="4"/>
              <w:spacing w:line="480" w:lineRule="auto"/>
              <w:ind w:firstLine="0"/>
              <w:jc w:val="left"/>
              <w:rPr>
                <w:rFonts w:hint="eastAsia" w:hAnsi="宋体"/>
                <w:sz w:val="24"/>
                <w:lang w:val="en-US" w:eastAsia="zh-CN"/>
              </w:rPr>
            </w:pPr>
            <w:r>
              <w:rPr>
                <w:rFonts w:hAnsi="宋体" w:eastAsia="宋体"/>
                <w:sz w:val="24"/>
                <w:lang w:val="en-US" w:eastAsia="zh-CN"/>
              </w:rPr>
              <w:t>杭州市第一人民医院</w:t>
            </w:r>
            <w:r>
              <w:rPr>
                <w:rFonts w:hint="eastAsia" w:hAnsi="宋体"/>
                <w:sz w:val="24"/>
                <w:lang w:val="en-US" w:eastAsia="zh-CN"/>
              </w:rPr>
              <w:t>桐庐医院</w:t>
            </w:r>
            <w:r>
              <w:rPr>
                <w:rFonts w:hAnsi="宋体" w:eastAsia="宋体"/>
                <w:sz w:val="24"/>
                <w:lang w:val="en-US" w:eastAsia="zh-CN"/>
              </w:rPr>
              <w:t>年度基建工程监理服务，服务范围为工程预算造价大于20万元小于1000万元且单个监理服务费小于50万元的所有单独招标基建工程及按照</w:t>
            </w:r>
            <w:r>
              <w:rPr>
                <w:rFonts w:hint="eastAsia" w:hAnsi="宋体"/>
                <w:sz w:val="24"/>
                <w:lang w:val="en-US" w:eastAsia="zh-CN"/>
              </w:rPr>
              <w:t>杭州市第一人民医院桐庐医院</w:t>
            </w:r>
            <w:r>
              <w:rPr>
                <w:rFonts w:hAnsi="宋体" w:cs="宋体"/>
                <w:sz w:val="24"/>
                <w:szCs w:val="24"/>
                <w:lang w:val="en-US" w:eastAsia="zh-CN"/>
              </w:rPr>
              <w:t>《</w:t>
            </w:r>
            <w:r>
              <w:rPr>
                <w:rFonts w:hAnsi="宋体" w:eastAsia="宋体" w:cs="宋体"/>
                <w:sz w:val="24"/>
                <w:szCs w:val="24"/>
                <w:lang w:val="en-US" w:eastAsia="zh-CN"/>
              </w:rPr>
              <w:t>基建</w:t>
            </w:r>
            <w:r>
              <w:rPr>
                <w:rFonts w:hint="eastAsia" w:hAnsi="宋体" w:cs="宋体"/>
                <w:sz w:val="24"/>
                <w:szCs w:val="24"/>
                <w:lang w:val="en-US" w:eastAsia="zh-CN"/>
              </w:rPr>
              <w:t>维修</w:t>
            </w:r>
            <w:r>
              <w:rPr>
                <w:rFonts w:hAnsi="宋体" w:eastAsia="宋体" w:cs="宋体"/>
                <w:sz w:val="24"/>
                <w:szCs w:val="24"/>
                <w:lang w:val="en-US" w:eastAsia="zh-CN"/>
              </w:rPr>
              <w:t>管理</w:t>
            </w:r>
            <w:r>
              <w:rPr>
                <w:rFonts w:hint="eastAsia" w:hAnsi="宋体" w:cs="宋体"/>
                <w:sz w:val="24"/>
                <w:szCs w:val="24"/>
                <w:lang w:val="en-US" w:eastAsia="zh-CN"/>
              </w:rPr>
              <w:t>工作制度</w:t>
            </w:r>
            <w:r>
              <w:rPr>
                <w:rFonts w:hAnsi="宋体" w:cs="宋体"/>
                <w:sz w:val="24"/>
                <w:szCs w:val="24"/>
                <w:lang w:val="en-US" w:eastAsia="zh-CN"/>
              </w:rPr>
              <w:t>》</w:t>
            </w:r>
            <w:r>
              <w:rPr>
                <w:rFonts w:hAnsi="宋体" w:eastAsia="宋体"/>
                <w:sz w:val="24"/>
                <w:lang w:val="en-US" w:eastAsia="zh-CN"/>
              </w:rPr>
              <w:t>预算大于5万元小于20万元的单独立项的零星维修工程的监理服务；服务期1年。</w:t>
            </w:r>
          </w:p>
        </w:tc>
      </w:tr>
    </w:tbl>
    <w:p w14:paraId="32609DCE">
      <w:pPr>
        <w:pStyle w:val="4"/>
        <w:spacing w:line="480" w:lineRule="auto"/>
        <w:ind w:firstLine="464" w:firstLineChars="200"/>
        <w:rPr>
          <w:rFonts w:hint="eastAsia" w:hAnsi="宋体" w:cs="宋体"/>
          <w:sz w:val="24"/>
          <w:lang w:eastAsia="zh-CN"/>
        </w:rPr>
      </w:pPr>
    </w:p>
    <w:p w14:paraId="3B8AF564">
      <w:pPr>
        <w:pStyle w:val="4"/>
        <w:spacing w:line="480" w:lineRule="auto"/>
        <w:ind w:firstLine="464" w:firstLineChars="200"/>
        <w:rPr>
          <w:rFonts w:hint="eastAsia" w:hAnsi="宋体" w:cs="宋体"/>
          <w:sz w:val="24"/>
        </w:rPr>
      </w:pPr>
      <w:r>
        <w:rPr>
          <w:rFonts w:hint="eastAsia" w:hAnsi="宋体" w:cs="宋体"/>
          <w:sz w:val="24"/>
          <w:lang w:eastAsia="zh-CN"/>
        </w:rPr>
        <w:t>（</w:t>
      </w:r>
      <w:r>
        <w:rPr>
          <w:rFonts w:hint="eastAsia" w:hAnsi="宋体" w:cs="宋体"/>
          <w:sz w:val="24"/>
          <w:lang w:val="en-US" w:eastAsia="zh-CN"/>
        </w:rPr>
        <w:t>一</w:t>
      </w:r>
      <w:r>
        <w:rPr>
          <w:rFonts w:hint="eastAsia" w:hAnsi="宋体" w:cs="宋体"/>
          <w:sz w:val="24"/>
          <w:lang w:eastAsia="zh-CN"/>
        </w:rPr>
        <w:t>）</w:t>
      </w:r>
      <w:r>
        <w:rPr>
          <w:rFonts w:hint="eastAsia" w:hAnsi="宋体" w:cs="宋体"/>
          <w:sz w:val="24"/>
        </w:rPr>
        <w:t>采购需求</w:t>
      </w:r>
    </w:p>
    <w:p w14:paraId="242E9B7B">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96" w:firstLineChars="300"/>
        <w:jc w:val="left"/>
        <w:textAlignment w:val="auto"/>
        <w:rPr>
          <w:rFonts w:hint="default" w:hAnsi="宋体" w:eastAsia="宋体"/>
          <w:sz w:val="24"/>
          <w:lang w:val="en-US" w:eastAsia="zh-CN"/>
        </w:rPr>
      </w:pPr>
      <w:r>
        <w:rPr>
          <w:rFonts w:hint="eastAsia" w:hAnsi="宋体"/>
          <w:sz w:val="24"/>
          <w:lang w:val="en-US" w:eastAsia="zh-CN"/>
        </w:rPr>
        <w:t>对杭州市第一人民医院桐庐医院所有</w:t>
      </w:r>
      <w:r>
        <w:rPr>
          <w:rFonts w:hAnsi="宋体" w:eastAsia="宋体"/>
          <w:sz w:val="24"/>
          <w:lang w:val="en-US" w:eastAsia="zh-CN"/>
        </w:rPr>
        <w:t>工程预算造价大于20万元小于1000万元且单个监理服务费小于50万元的所有单独招标基建工程</w:t>
      </w:r>
      <w:r>
        <w:rPr>
          <w:rFonts w:hint="eastAsia" w:hAnsi="宋体"/>
          <w:sz w:val="24"/>
          <w:lang w:val="en-US" w:eastAsia="zh-CN"/>
        </w:rPr>
        <w:t>项目</w:t>
      </w:r>
      <w:r>
        <w:rPr>
          <w:rFonts w:hAnsi="宋体" w:eastAsia="宋体"/>
          <w:sz w:val="24"/>
          <w:lang w:val="en-US" w:eastAsia="zh-CN"/>
        </w:rPr>
        <w:t>及</w:t>
      </w:r>
      <w:r>
        <w:rPr>
          <w:rFonts w:hAnsi="宋体" w:eastAsia="宋体"/>
          <w:sz w:val="24"/>
          <w:lang w:val="en-US" w:eastAsia="zh-CN"/>
        </w:rPr>
        <w:t>按照</w:t>
      </w:r>
      <w:r>
        <w:rPr>
          <w:rFonts w:hint="eastAsia" w:hAnsi="宋体"/>
          <w:sz w:val="24"/>
          <w:lang w:val="en-US" w:eastAsia="zh-CN"/>
        </w:rPr>
        <w:t>杭州市第一人民医院桐庐医院</w:t>
      </w:r>
      <w:r>
        <w:rPr>
          <w:rFonts w:hAnsi="宋体" w:cs="宋体"/>
          <w:sz w:val="24"/>
          <w:szCs w:val="24"/>
          <w:lang w:val="en-US" w:eastAsia="zh-CN"/>
        </w:rPr>
        <w:t>《</w:t>
      </w:r>
      <w:r>
        <w:rPr>
          <w:rFonts w:hAnsi="宋体" w:eastAsia="宋体" w:cs="宋体"/>
          <w:sz w:val="24"/>
          <w:szCs w:val="24"/>
          <w:lang w:val="en-US" w:eastAsia="zh-CN"/>
        </w:rPr>
        <w:t>基建</w:t>
      </w:r>
      <w:r>
        <w:rPr>
          <w:rFonts w:hint="eastAsia" w:hAnsi="宋体" w:cs="宋体"/>
          <w:sz w:val="24"/>
          <w:szCs w:val="24"/>
          <w:lang w:val="en-US" w:eastAsia="zh-CN"/>
        </w:rPr>
        <w:t>维修</w:t>
      </w:r>
      <w:r>
        <w:rPr>
          <w:rFonts w:hAnsi="宋体" w:eastAsia="宋体" w:cs="宋体"/>
          <w:sz w:val="24"/>
          <w:szCs w:val="24"/>
          <w:lang w:val="en-US" w:eastAsia="zh-CN"/>
        </w:rPr>
        <w:t>管理</w:t>
      </w:r>
      <w:r>
        <w:rPr>
          <w:rFonts w:hint="eastAsia" w:hAnsi="宋体" w:cs="宋体"/>
          <w:sz w:val="24"/>
          <w:szCs w:val="24"/>
          <w:lang w:val="en-US" w:eastAsia="zh-CN"/>
        </w:rPr>
        <w:t>工作制度</w:t>
      </w:r>
      <w:r>
        <w:rPr>
          <w:rFonts w:hAnsi="宋体" w:cs="宋体"/>
          <w:sz w:val="24"/>
          <w:szCs w:val="24"/>
          <w:lang w:val="en-US" w:eastAsia="zh-CN"/>
        </w:rPr>
        <w:t>》</w:t>
      </w:r>
      <w:r>
        <w:rPr>
          <w:rFonts w:hAnsi="宋体" w:eastAsia="宋体"/>
          <w:sz w:val="24"/>
          <w:lang w:val="en-US" w:eastAsia="zh-CN"/>
        </w:rPr>
        <w:t>预算大于5万元小于20万元的单独立项的零星维修工程的监理服务</w:t>
      </w:r>
      <w:r>
        <w:rPr>
          <w:rFonts w:hint="eastAsia" w:hAnsi="宋体" w:eastAsia="宋体"/>
          <w:sz w:val="24"/>
          <w:lang w:val="en-US" w:eastAsia="zh-CN"/>
        </w:rPr>
        <w:t>。</w:t>
      </w:r>
    </w:p>
    <w:p w14:paraId="18B3AC1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hAnsi="宋体" w:eastAsia="宋体"/>
          <w:sz w:val="24"/>
          <w:lang w:val="en-US" w:eastAsia="zh-CN"/>
        </w:rPr>
      </w:pPr>
    </w:p>
    <w:p w14:paraId="7928F630">
      <w:pPr>
        <w:pStyle w:val="4"/>
        <w:numPr>
          <w:ilvl w:val="0"/>
          <w:numId w:val="2"/>
        </w:numPr>
        <w:spacing w:line="480" w:lineRule="auto"/>
        <w:ind w:left="0" w:leftChars="0" w:firstLine="0" w:firstLineChars="0"/>
        <w:rPr>
          <w:rFonts w:hint="eastAsia" w:hAnsi="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报价要求</w:t>
      </w:r>
    </w:p>
    <w:p w14:paraId="0C5FC302">
      <w:pPr>
        <w:pStyle w:val="4"/>
        <w:numPr>
          <w:ilvl w:val="0"/>
          <w:numId w:val="0"/>
        </w:numPr>
        <w:spacing w:line="480" w:lineRule="auto"/>
        <w:ind w:leftChars="0" w:firstLine="696" w:firstLineChars="300"/>
        <w:rPr>
          <w:rFonts w:hint="eastAsia" w:hAnsi="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供应商参照“关于印发《建设工程监理与相关服务收费管理规定》的通知”（发改价格[2007]670号）文件填报折扣，最终每个施工项目按照发改价格[2007]670号的收费标准×折扣进行结算支付。</w:t>
      </w:r>
    </w:p>
    <w:p w14:paraId="03F124F5">
      <w:pPr>
        <w:spacing w:line="360" w:lineRule="auto"/>
        <w:ind w:firstLine="464" w:firstLineChars="200"/>
        <w:jc w:val="left"/>
        <w:rPr>
          <w:rFonts w:hint="eastAsia" w:ascii="宋体" w:hAnsi="宋体" w:eastAsia="宋体" w:cs="Times New Roman"/>
          <w:spacing w:val="-4"/>
          <w:kern w:val="0"/>
          <w:sz w:val="24"/>
          <w:szCs w:val="20"/>
          <w:lang w:val="en-US" w:eastAsia="zh-CN" w:bidi="ar-SA"/>
        </w:rPr>
      </w:pPr>
      <w:r>
        <w:rPr>
          <w:rFonts w:hint="eastAsia" w:hAnsi="宋体" w:cs="Times New Roman"/>
          <w:spacing w:val="-4"/>
          <w:kern w:val="0"/>
          <w:sz w:val="24"/>
          <w:szCs w:val="20"/>
          <w:lang w:val="en-US" w:eastAsia="zh-CN" w:bidi="ar-SA"/>
        </w:rPr>
        <w:t xml:space="preserve">   </w:t>
      </w:r>
    </w:p>
    <w:p w14:paraId="020D83E5">
      <w:pPr>
        <w:spacing w:line="360" w:lineRule="auto"/>
        <w:jc w:val="left"/>
        <w:rPr>
          <w:rFonts w:hint="eastAsia" w:ascii="宋体" w:hAnsi="宋体" w:eastAsia="宋体" w:cs="Times New Roman"/>
          <w:spacing w:val="-4"/>
          <w:kern w:val="0"/>
          <w:sz w:val="24"/>
          <w:szCs w:val="20"/>
          <w:lang w:val="en-US" w:eastAsia="zh-CN" w:bidi="ar-SA"/>
        </w:rPr>
      </w:pPr>
      <w:r>
        <w:rPr>
          <w:rFonts w:hint="eastAsia" w:ascii="宋体" w:hAnsi="宋体" w:cs="Times New Roman"/>
          <w:spacing w:val="-4"/>
          <w:kern w:val="0"/>
          <w:sz w:val="24"/>
          <w:szCs w:val="20"/>
          <w:lang w:val="en-US" w:eastAsia="zh-CN" w:bidi="ar-SA"/>
        </w:rPr>
        <w:t>（三</w:t>
      </w:r>
      <w:r>
        <w:rPr>
          <w:rFonts w:hint="eastAsia" w:ascii="宋体" w:hAnsi="宋体" w:eastAsia="宋体" w:cs="Times New Roman"/>
          <w:spacing w:val="-4"/>
          <w:kern w:val="0"/>
          <w:sz w:val="24"/>
          <w:szCs w:val="20"/>
          <w:lang w:val="en-US" w:eastAsia="zh-CN" w:bidi="ar-SA"/>
        </w:rPr>
        <w:t>）其他要求</w:t>
      </w:r>
    </w:p>
    <w:p w14:paraId="41675916">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ascii="宋体" w:hAnsi="宋体" w:eastAsia="宋体" w:cs="Times New Roman"/>
          <w:b w:val="0"/>
          <w:bCs w:val="0"/>
          <w:spacing w:val="-4"/>
          <w:kern w:val="0"/>
          <w:sz w:val="24"/>
          <w:szCs w:val="20"/>
          <w:lang w:val="en-US" w:eastAsia="zh-CN" w:bidi="ar-SA"/>
        </w:rPr>
        <w:t xml:space="preserve"> </w:t>
      </w:r>
      <w:r>
        <w:rPr>
          <w:rFonts w:hint="eastAsia"/>
          <w:b w:val="0"/>
          <w:bCs w:val="0"/>
          <w:spacing w:val="-2"/>
          <w:sz w:val="24"/>
          <w:lang w:val="en-US" w:eastAsia="zh-CN"/>
        </w:rPr>
        <w:t>一、人员要求：</w:t>
      </w:r>
      <w:r>
        <w:rPr>
          <w:rFonts w:hint="eastAsia"/>
          <w:spacing w:val="-2"/>
          <w:sz w:val="24"/>
          <w:lang w:val="en-US" w:eastAsia="zh-CN"/>
        </w:rPr>
        <w:br w:type="textWrapping"/>
      </w:r>
      <w:r>
        <w:rPr>
          <w:rFonts w:hint="eastAsia"/>
          <w:spacing w:val="-2"/>
          <w:sz w:val="24"/>
          <w:lang w:val="en-US" w:eastAsia="zh-CN"/>
        </w:rPr>
        <w:t>1、监理人员专业及人数要求至少须符合国家现行监理规范的规定且专业配置合理，配合各阶段的工程特点均有专业侧重点，各监理人员均须持有相应的上岗证书，并有相应的工程经验，监理人员由投标人按经验、企业实力、工程内容配置，在投标文件中一一列明。</w:t>
      </w:r>
    </w:p>
    <w:p w14:paraId="0D423A2D">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▲2、总监：具有注册在投标人单位的房屋建筑工程国家注册监理工程师执业资格。</w:t>
      </w:r>
    </w:p>
    <w:p w14:paraId="27D57546">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3、具体人员要求：（承诺按具体工程项目配置，并满足采购人要求和项目需要。）</w:t>
      </w:r>
    </w:p>
    <w:p w14:paraId="19E811D8">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（1）总监理工程师不少于一名；</w:t>
      </w:r>
    </w:p>
    <w:p w14:paraId="780051B2">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（2）质量监理工程师不少于一名；</w:t>
      </w:r>
    </w:p>
    <w:p w14:paraId="70581031">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（3）安全监理不少于一名；</w:t>
      </w:r>
    </w:p>
    <w:p w14:paraId="1E501917">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（4）两名工程师需常驻现场，另根据工程需要总监不定时到场提供监理服务，其他专业不定期到场提供监理服务；</w:t>
      </w:r>
    </w:p>
    <w:p w14:paraId="2B5B48A9">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（5）年龄及专业技术要求：男60岁以下，女55岁以下，有电脑基础。</w:t>
      </w:r>
    </w:p>
    <w:p w14:paraId="61354E6B">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6）监理人无正当理由未履行监理义务，对施工阶段的质量、进度、投资控制把控不严，现场管理混乱，造成工程进度缓慢，工程质量低劣，扣以监理费总额50%的违约金并出具整改措施。拒不改正的，采购人有权解除合同并扣除全部履约保证金。</w:t>
      </w:r>
    </w:p>
    <w:p w14:paraId="56025E0A">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4、监理人应组建满足工作需要的项目监理机构，配备必要的检测设备。</w:t>
      </w:r>
    </w:p>
    <w:p w14:paraId="0CA64FA7">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5、本合同履行过程中，总监理工程师及重要岗位监理人员应保持相对稳定，以保证监理工作正常进行；</w:t>
      </w:r>
    </w:p>
    <w:p w14:paraId="7CCC30B6">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6、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31C019CA">
      <w:pPr>
        <w:pStyle w:val="3"/>
        <w:spacing w:before="119" w:line="364" w:lineRule="auto"/>
        <w:ind w:left="0" w:leftChars="0" w:right="336" w:firstLine="0" w:firstLineChars="0"/>
        <w:rPr>
          <w:rFonts w:hint="default"/>
          <w:spacing w:val="-2"/>
          <w:sz w:val="24"/>
          <w:u w:val="none"/>
          <w:lang w:val="en-US" w:eastAsia="zh-CN"/>
        </w:rPr>
      </w:pPr>
      <w:r>
        <w:rPr>
          <w:rFonts w:hint="eastAsia"/>
          <w:spacing w:val="-2"/>
          <w:sz w:val="24"/>
          <w:u w:val="none"/>
          <w:lang w:val="en-US" w:eastAsia="zh-CN"/>
        </w:rPr>
        <w:t>8、</w:t>
      </w:r>
      <w:r>
        <w:rPr>
          <w:spacing w:val="-2"/>
          <w:u w:val="none"/>
        </w:rPr>
        <w:t>监理人不</w:t>
      </w:r>
      <w:r>
        <w:rPr>
          <w:spacing w:val="-1"/>
          <w:u w:val="none"/>
        </w:rPr>
        <w:t>得以任何理由在施工过程中调换总监和</w:t>
      </w:r>
      <w:r>
        <w:rPr>
          <w:rFonts w:hint="eastAsia"/>
          <w:spacing w:val="-1"/>
          <w:u w:val="none"/>
          <w:lang w:eastAsia="zh-CN"/>
        </w:rPr>
        <w:t>现场</w:t>
      </w:r>
      <w:r>
        <w:rPr>
          <w:spacing w:val="-1"/>
          <w:u w:val="none"/>
        </w:rPr>
        <w:t>监理等主要监理人员。若因特殊情况或实际需要必须调换者，监理人必须事先向委托人提供以下材料并取得委托人的书面批准以后，才能</w:t>
      </w:r>
      <w:r>
        <w:rPr>
          <w:spacing w:val="-2"/>
          <w:u w:val="none"/>
        </w:rPr>
        <w:t>派替换的监理人员进场：擅自更换总监理工程师，扣罚</w:t>
      </w:r>
      <w:r>
        <w:rPr>
          <w:rFonts w:hint="eastAsia"/>
          <w:spacing w:val="-2"/>
          <w:u w:val="none"/>
          <w:lang w:val="en-US" w:eastAsia="zh-CN"/>
        </w:rPr>
        <w:t>5000</w:t>
      </w:r>
      <w:r>
        <w:rPr>
          <w:spacing w:val="-2"/>
          <w:u w:val="none"/>
        </w:rPr>
        <w:t>元，直至委托人书面批准止。擅自更换其他监理人员，每人每次扣罚</w:t>
      </w:r>
      <w:r>
        <w:rPr>
          <w:rFonts w:hint="eastAsia"/>
          <w:spacing w:val="-2"/>
          <w:u w:val="none"/>
          <w:lang w:val="en-US" w:eastAsia="zh-CN"/>
        </w:rPr>
        <w:t>3000</w:t>
      </w:r>
      <w:r>
        <w:rPr>
          <w:spacing w:val="-2"/>
          <w:u w:val="none"/>
        </w:rPr>
        <w:t>元。</w:t>
      </w:r>
    </w:p>
    <w:p w14:paraId="2B1C325B">
      <w:pPr>
        <w:pStyle w:val="18"/>
        <w:numPr>
          <w:ilvl w:val="0"/>
          <w:numId w:val="0"/>
        </w:numPr>
        <w:tabs>
          <w:tab w:val="left" w:pos="1589"/>
        </w:tabs>
        <w:spacing w:before="0" w:after="0" w:line="364" w:lineRule="auto"/>
        <w:ind w:right="291" w:rightChars="0"/>
        <w:jc w:val="left"/>
        <w:rPr>
          <w:rFonts w:hint="eastAsia"/>
          <w:b/>
          <w:bCs/>
          <w:spacing w:val="-2"/>
          <w:sz w:val="24"/>
          <w:lang w:val="en-US" w:eastAsia="zh-CN"/>
        </w:rPr>
      </w:pPr>
      <w:r>
        <w:rPr>
          <w:rFonts w:hint="eastAsia"/>
          <w:b/>
          <w:bCs/>
          <w:spacing w:val="-2"/>
          <w:sz w:val="24"/>
          <w:lang w:val="en-US" w:eastAsia="zh-CN"/>
        </w:rPr>
        <w:t>二、监理工作要求：</w:t>
      </w:r>
    </w:p>
    <w:p w14:paraId="6FCD6680">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1、收到工程设计文件后编制监理规划，并在第一次工地会议7天前报委托人；2、根据有关规定和监理工作需要，编制监理实施细则；</w:t>
      </w:r>
    </w:p>
    <w:p w14:paraId="08BB0B55">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3、熟悉工程设计文件，并参加由委托人主持的图纸会审和设计交底会议；</w:t>
      </w:r>
    </w:p>
    <w:p w14:paraId="5E9B564C">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4、参加由委托人主持的第一次工地会议；主持监理例会并根据工程需要主持或参加专题会议；</w:t>
      </w:r>
    </w:p>
    <w:p w14:paraId="418CFB23">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5、审查施工承包人提交的施工组织设计，重点审查其中的质量安全技术措施、专项施工方案与工程建设强制性标准的符合性；</w:t>
      </w:r>
    </w:p>
    <w:p w14:paraId="6C897091">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6、检查施工承包人工程质量、安全生产管理制度及组织机构和人员资格；</w:t>
      </w:r>
    </w:p>
    <w:p w14:paraId="1E5A8E3D">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7、检查施工承包人专职安全生产管理人员的配备情况；</w:t>
      </w:r>
    </w:p>
    <w:p w14:paraId="1D6471EA">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8、审查施工承包人提交的施工进度计划，核查承包人对施工进度计划的调整；</w:t>
      </w:r>
    </w:p>
    <w:p w14:paraId="3A27EBD4">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9、审核施工分包人资质条件；</w:t>
      </w:r>
    </w:p>
    <w:p w14:paraId="62ACA772">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10、查验施工承包人的施工测量放线成果；</w:t>
      </w:r>
    </w:p>
    <w:p w14:paraId="3A6E57E4">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11、审查工程开工条件，对条件具备的签发开工令；</w:t>
      </w:r>
    </w:p>
    <w:p w14:paraId="7F59EC3A">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12、审查施工承包人报送的工程材料、构配件、设备质量证明文件的有效性和符合性，并按规定对用于工程的材料采取平行检验或见证取样方式进行抽检；</w:t>
      </w:r>
    </w:p>
    <w:p w14:paraId="4C446F05">
      <w:pPr>
        <w:pStyle w:val="18"/>
        <w:numPr>
          <w:ilvl w:val="0"/>
          <w:numId w:val="0"/>
        </w:numPr>
        <w:tabs>
          <w:tab w:val="left" w:pos="1589"/>
        </w:tabs>
        <w:spacing w:before="0" w:after="0" w:line="364" w:lineRule="auto"/>
        <w:ind w:right="291" w:rightChars="0"/>
        <w:jc w:val="left"/>
        <w:rPr>
          <w:rFonts w:hint="eastAsia"/>
          <w:spacing w:val="-2"/>
          <w:sz w:val="24"/>
          <w:lang w:val="en-US" w:eastAsia="zh-CN"/>
        </w:rPr>
      </w:pPr>
      <w:r>
        <w:rPr>
          <w:rFonts w:hint="eastAsia"/>
          <w:spacing w:val="-2"/>
          <w:sz w:val="24"/>
          <w:lang w:val="en-US" w:eastAsia="zh-CN"/>
        </w:rPr>
        <w:t>13、审核施工承包人提交的工程款支付申请，签发或出具工程款支付证书，并报委托人审核、批准；</w:t>
      </w:r>
    </w:p>
    <w:p w14:paraId="7B8443A3">
      <w:pPr>
        <w:pStyle w:val="18"/>
        <w:numPr>
          <w:ilvl w:val="0"/>
          <w:numId w:val="0"/>
        </w:numPr>
        <w:tabs>
          <w:tab w:val="left" w:pos="1589"/>
        </w:tabs>
        <w:spacing w:before="0" w:after="0" w:line="364" w:lineRule="auto"/>
        <w:ind w:right="291" w:rightChars="0"/>
        <w:jc w:val="left"/>
        <w:rPr>
          <w:sz w:val="24"/>
        </w:rPr>
      </w:pPr>
      <w:r>
        <w:rPr>
          <w:rFonts w:hint="eastAsia"/>
          <w:spacing w:val="-2"/>
          <w:sz w:val="24"/>
          <w:lang w:val="en-US" w:eastAsia="zh-CN"/>
        </w:rPr>
        <w:t>14、</w:t>
      </w:r>
      <w:r>
        <w:rPr>
          <w:spacing w:val="-2"/>
          <w:sz w:val="24"/>
        </w:rPr>
        <w:t>在巡视、旁站和检验过程中，发现工程质量、施工安全存在事故隐患的，要求施工承包人整改并报委托人；</w:t>
      </w:r>
    </w:p>
    <w:p w14:paraId="34749BD3">
      <w:pPr>
        <w:pStyle w:val="18"/>
        <w:numPr>
          <w:ilvl w:val="0"/>
          <w:numId w:val="0"/>
        </w:numPr>
        <w:tabs>
          <w:tab w:val="left" w:pos="1424"/>
        </w:tabs>
        <w:spacing w:before="0" w:after="0" w:line="306" w:lineRule="exact"/>
        <w:ind w:right="0" w:rightChars="0"/>
        <w:jc w:val="left"/>
        <w:rPr>
          <w:sz w:val="24"/>
        </w:rPr>
      </w:pPr>
      <w:r>
        <w:rPr>
          <w:rFonts w:hint="eastAsia"/>
          <w:spacing w:val="-1"/>
          <w:sz w:val="24"/>
          <w:lang w:val="en-US" w:eastAsia="zh-CN"/>
        </w:rPr>
        <w:t>15、</w:t>
      </w:r>
      <w:r>
        <w:rPr>
          <w:spacing w:val="-1"/>
          <w:sz w:val="24"/>
        </w:rPr>
        <w:t>经委托人同意，签发工程暂停令和复工令；</w:t>
      </w:r>
    </w:p>
    <w:p w14:paraId="67C44559">
      <w:pPr>
        <w:pStyle w:val="18"/>
        <w:numPr>
          <w:ilvl w:val="0"/>
          <w:numId w:val="0"/>
        </w:numPr>
        <w:tabs>
          <w:tab w:val="left" w:pos="1424"/>
        </w:tabs>
        <w:spacing w:before="158" w:after="0" w:line="364" w:lineRule="auto"/>
        <w:ind w:right="456" w:rightChars="0"/>
        <w:jc w:val="left"/>
        <w:rPr>
          <w:sz w:val="24"/>
        </w:rPr>
      </w:pPr>
      <w:r>
        <w:rPr>
          <w:rFonts w:hint="eastAsia"/>
          <w:spacing w:val="-2"/>
          <w:sz w:val="24"/>
          <w:lang w:val="en-US" w:eastAsia="zh-CN"/>
        </w:rPr>
        <w:t>16、</w:t>
      </w:r>
      <w:r>
        <w:rPr>
          <w:spacing w:val="-2"/>
          <w:sz w:val="24"/>
        </w:rPr>
        <w:t>审查施工承包人提交的采用新材料、新工艺、新技术、新设备的论证材料及相关验</w:t>
      </w:r>
      <w:r>
        <w:rPr>
          <w:spacing w:val="-4"/>
          <w:sz w:val="24"/>
        </w:rPr>
        <w:t>收标准；</w:t>
      </w:r>
    </w:p>
    <w:p w14:paraId="4357AC0C">
      <w:pPr>
        <w:pStyle w:val="18"/>
        <w:numPr>
          <w:ilvl w:val="0"/>
          <w:numId w:val="0"/>
        </w:numPr>
        <w:tabs>
          <w:tab w:val="left" w:pos="1604"/>
        </w:tabs>
        <w:spacing w:before="0" w:after="0" w:line="306" w:lineRule="exact"/>
        <w:ind w:right="0" w:rightChars="0"/>
        <w:jc w:val="left"/>
        <w:rPr>
          <w:sz w:val="24"/>
        </w:rPr>
      </w:pPr>
      <w:r>
        <w:rPr>
          <w:rFonts w:hint="eastAsia"/>
          <w:spacing w:val="-1"/>
          <w:sz w:val="24"/>
          <w:lang w:val="en-US" w:eastAsia="zh-CN"/>
        </w:rPr>
        <w:t>17、</w:t>
      </w:r>
      <w:r>
        <w:rPr>
          <w:spacing w:val="-1"/>
          <w:sz w:val="24"/>
        </w:rPr>
        <w:t>验收隐蔽工程、分部分项工程；</w:t>
      </w:r>
    </w:p>
    <w:p w14:paraId="420E8455">
      <w:pPr>
        <w:pStyle w:val="18"/>
        <w:numPr>
          <w:ilvl w:val="0"/>
          <w:numId w:val="0"/>
        </w:numPr>
        <w:tabs>
          <w:tab w:val="left" w:pos="1424"/>
        </w:tabs>
        <w:spacing w:before="159" w:after="0" w:line="364" w:lineRule="auto"/>
        <w:ind w:right="456" w:rightChars="0"/>
        <w:jc w:val="left"/>
        <w:rPr>
          <w:sz w:val="24"/>
        </w:rPr>
      </w:pPr>
      <w:r>
        <w:rPr>
          <w:rFonts w:hint="eastAsia"/>
          <w:spacing w:val="-2"/>
          <w:sz w:val="24"/>
          <w:lang w:val="en-US" w:eastAsia="zh-CN"/>
        </w:rPr>
        <w:t>18、</w:t>
      </w:r>
      <w:r>
        <w:rPr>
          <w:spacing w:val="-2"/>
          <w:sz w:val="24"/>
        </w:rPr>
        <w:t>审查施工承包人提交的工程变更申请，协调处理施工进度调整、费用索赔、合同争议等事项；</w:t>
      </w:r>
    </w:p>
    <w:p w14:paraId="6C145B33">
      <w:pPr>
        <w:pStyle w:val="18"/>
        <w:numPr>
          <w:ilvl w:val="0"/>
          <w:numId w:val="0"/>
        </w:numPr>
        <w:tabs>
          <w:tab w:val="left" w:pos="1589"/>
        </w:tabs>
        <w:spacing w:before="0" w:after="0" w:line="306" w:lineRule="exact"/>
        <w:ind w:right="0" w:rightChars="0"/>
        <w:jc w:val="left"/>
        <w:rPr>
          <w:sz w:val="24"/>
        </w:rPr>
      </w:pPr>
      <w:r>
        <w:rPr>
          <w:rFonts w:hint="eastAsia"/>
          <w:spacing w:val="-1"/>
          <w:sz w:val="24"/>
          <w:lang w:val="en-US" w:eastAsia="zh-CN"/>
        </w:rPr>
        <w:t>10、</w:t>
      </w:r>
      <w:r>
        <w:rPr>
          <w:spacing w:val="-1"/>
          <w:sz w:val="24"/>
        </w:rPr>
        <w:t>审查施工承包人提交的竣工验收申请，编写工程质量评估报告；</w:t>
      </w:r>
    </w:p>
    <w:p w14:paraId="66298127">
      <w:pPr>
        <w:pStyle w:val="18"/>
        <w:numPr>
          <w:ilvl w:val="0"/>
          <w:numId w:val="0"/>
        </w:numPr>
        <w:tabs>
          <w:tab w:val="left" w:pos="1424"/>
        </w:tabs>
        <w:spacing w:before="159" w:after="0" w:line="240" w:lineRule="auto"/>
        <w:ind w:right="0" w:rightChars="0"/>
        <w:jc w:val="left"/>
        <w:rPr>
          <w:sz w:val="24"/>
        </w:rPr>
      </w:pPr>
      <w:r>
        <w:rPr>
          <w:rFonts w:hint="eastAsia"/>
          <w:spacing w:val="-1"/>
          <w:sz w:val="24"/>
          <w:lang w:val="en-US" w:eastAsia="zh-CN"/>
        </w:rPr>
        <w:t>20、</w:t>
      </w:r>
      <w:r>
        <w:rPr>
          <w:spacing w:val="-1"/>
          <w:sz w:val="24"/>
        </w:rPr>
        <w:t>参加工程竣工验收，签署竣工验收意见；</w:t>
      </w:r>
    </w:p>
    <w:p w14:paraId="34EEDD88">
      <w:pPr>
        <w:pStyle w:val="18"/>
        <w:numPr>
          <w:ilvl w:val="0"/>
          <w:numId w:val="0"/>
        </w:numPr>
        <w:tabs>
          <w:tab w:val="left" w:pos="1424"/>
        </w:tabs>
        <w:spacing w:before="160" w:after="0" w:line="240" w:lineRule="auto"/>
        <w:ind w:right="0" w:rightChars="0"/>
        <w:jc w:val="left"/>
        <w:rPr>
          <w:sz w:val="24"/>
        </w:rPr>
      </w:pPr>
      <w:r>
        <w:rPr>
          <w:rFonts w:hint="eastAsia"/>
          <w:spacing w:val="-1"/>
          <w:sz w:val="24"/>
          <w:lang w:val="en-US" w:eastAsia="zh-CN"/>
        </w:rPr>
        <w:t>21、</w:t>
      </w:r>
      <w:r>
        <w:rPr>
          <w:spacing w:val="-1"/>
          <w:sz w:val="24"/>
        </w:rPr>
        <w:t>审查施工承包人提交的竣工结算申请并报委托人；</w:t>
      </w:r>
    </w:p>
    <w:p w14:paraId="4341579A">
      <w:pPr>
        <w:pStyle w:val="18"/>
        <w:numPr>
          <w:ilvl w:val="0"/>
          <w:numId w:val="0"/>
        </w:numPr>
        <w:tabs>
          <w:tab w:val="left" w:pos="944"/>
        </w:tabs>
        <w:spacing w:before="0" w:after="0" w:line="364" w:lineRule="auto"/>
        <w:ind w:right="456" w:rightChars="0"/>
        <w:jc w:val="left"/>
        <w:rPr>
          <w:spacing w:val="-2"/>
          <w:sz w:val="24"/>
          <w:u w:val="none"/>
        </w:rPr>
      </w:pPr>
      <w:r>
        <w:rPr>
          <w:rFonts w:hint="eastAsia"/>
          <w:spacing w:val="-1"/>
          <w:sz w:val="24"/>
          <w:lang w:val="en-US" w:eastAsia="zh-CN"/>
        </w:rPr>
        <w:t>22、</w:t>
      </w:r>
      <w:r>
        <w:rPr>
          <w:spacing w:val="-2"/>
          <w:sz w:val="24"/>
          <w:u w:val="none"/>
        </w:rPr>
        <w:t>工程竣工验收后</w:t>
      </w:r>
      <w:r>
        <w:rPr>
          <w:rFonts w:hint="eastAsia"/>
          <w:spacing w:val="-2"/>
          <w:sz w:val="24"/>
          <w:u w:val="none"/>
          <w:lang w:val="en-US" w:eastAsia="zh-CN"/>
        </w:rPr>
        <w:t>15</w:t>
      </w:r>
      <w:r>
        <w:rPr>
          <w:spacing w:val="-2"/>
          <w:sz w:val="24"/>
          <w:u w:val="none"/>
        </w:rPr>
        <w:t>天内，提供业主完整的、并装订成册的监理资料四份，包括监理规划、监理细则，建立项目监理机构文件和会议纪要（含监理工程师发布的各项指令及联系单）、监理日记、监理月报、监理工作总结、质量评估报告以及由监理抽检或监理主持验收的各类原材料、成品及半成品、隐蔽工程和其它重要的质量部位的资料，不需要提供竣工图及施工单位提供或检查的有关工程竣工技术资料；</w:t>
      </w:r>
    </w:p>
    <w:p w14:paraId="4AB05FA7">
      <w:pPr>
        <w:pStyle w:val="18"/>
        <w:numPr>
          <w:ilvl w:val="0"/>
          <w:numId w:val="0"/>
        </w:numPr>
        <w:tabs>
          <w:tab w:val="left" w:pos="944"/>
        </w:tabs>
        <w:spacing w:before="0" w:after="0" w:line="364" w:lineRule="auto"/>
        <w:ind w:right="456" w:rightChars="0"/>
        <w:jc w:val="left"/>
        <w:rPr>
          <w:rFonts w:hint="default" w:eastAsia="宋体"/>
          <w:spacing w:val="-2"/>
          <w:sz w:val="24"/>
          <w:u w:val="none"/>
          <w:lang w:val="en-US" w:eastAsia="zh-CN"/>
        </w:rPr>
      </w:pPr>
      <w:r>
        <w:rPr>
          <w:rFonts w:hint="eastAsia"/>
          <w:spacing w:val="-2"/>
          <w:sz w:val="24"/>
          <w:u w:val="none"/>
          <w:lang w:val="en-US" w:eastAsia="zh-CN"/>
        </w:rPr>
        <w:t>23、其他需配合医院基建管理人员相关工程管理等工作。</w:t>
      </w:r>
    </w:p>
    <w:p w14:paraId="2BCE6893">
      <w:pPr>
        <w:pStyle w:val="18"/>
        <w:numPr>
          <w:ilvl w:val="0"/>
          <w:numId w:val="0"/>
        </w:numPr>
        <w:tabs>
          <w:tab w:val="left" w:pos="1424"/>
        </w:tabs>
        <w:spacing w:before="0" w:after="0" w:line="360" w:lineRule="auto"/>
        <w:ind w:right="0" w:rightChars="0"/>
        <w:jc w:val="left"/>
        <w:rPr>
          <w:rFonts w:hint="eastAsia"/>
          <w:b/>
          <w:bCs/>
          <w:spacing w:val="-1"/>
          <w:sz w:val="24"/>
          <w:lang w:val="en-US" w:eastAsia="zh-CN"/>
        </w:rPr>
      </w:pPr>
      <w:r>
        <w:rPr>
          <w:rFonts w:hint="eastAsia"/>
          <w:b/>
          <w:bCs/>
          <w:spacing w:val="-1"/>
          <w:sz w:val="24"/>
          <w:lang w:val="en-US" w:eastAsia="zh-CN"/>
        </w:rPr>
        <w:t>三、履行职责：</w:t>
      </w:r>
    </w:p>
    <w:p w14:paraId="1B5ABCC5">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1、监理人应遵循职业道德准则和行为规范，严格按照法律法规、工程建设有关标准及本合同履行职责；</w:t>
      </w:r>
    </w:p>
    <w:p w14:paraId="0D8FC871">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2、在监理与相关服务范围内，委托人和承包人提出的意见和要求，监理人应及时提出处置意见。当委托人与承包人之间发生合同争议时，监理人应协助委托人、承包人协商解决；</w:t>
      </w:r>
    </w:p>
    <w:p w14:paraId="77D8B9A9">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3、当委托人与承包人之间的合同争议提交仲裁机构仲裁或人民法院审理时，监理人应提供必要的证明资料；</w:t>
      </w:r>
    </w:p>
    <w:p w14:paraId="1AC945ED">
      <w:pPr>
        <w:pStyle w:val="18"/>
        <w:numPr>
          <w:ilvl w:val="0"/>
          <w:numId w:val="0"/>
        </w:numPr>
        <w:tabs>
          <w:tab w:val="left" w:pos="1424"/>
        </w:tabs>
        <w:spacing w:before="0" w:after="0" w:line="360" w:lineRule="auto"/>
        <w:ind w:right="0" w:rightChars="0"/>
        <w:jc w:val="left"/>
        <w:rPr>
          <w:rFonts w:hint="default"/>
          <w:spacing w:val="-1"/>
          <w:sz w:val="24"/>
          <w:lang w:val="en-US" w:eastAsia="zh-CN"/>
        </w:rPr>
      </w:pPr>
      <w:r>
        <w:rPr>
          <w:rFonts w:hint="eastAsia"/>
          <w:spacing w:val="-1"/>
          <w:sz w:val="24"/>
          <w:lang w:val="en-US" w:eastAsia="zh-CN"/>
        </w:rPr>
        <w:t>4、监理人应在专用条件约定的授权范围内，处理委托人与承包人所签订合同的变更事宜。如果变更超过授权范围，应以书面形式报委托人批准；</w:t>
      </w:r>
    </w:p>
    <w:p w14:paraId="3926F57F">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5、监理人应按专用条件约定的种类、时间和份数向委托人提交监理与相关服务的报告；</w:t>
      </w:r>
    </w:p>
    <w:p w14:paraId="6030E61A">
      <w:pPr>
        <w:pStyle w:val="18"/>
        <w:numPr>
          <w:ilvl w:val="0"/>
          <w:numId w:val="0"/>
        </w:numPr>
        <w:tabs>
          <w:tab w:val="left" w:pos="1424"/>
        </w:tabs>
        <w:spacing w:before="0" w:after="0" w:line="360" w:lineRule="auto"/>
        <w:ind w:right="0" w:rightChars="0"/>
        <w:jc w:val="left"/>
        <w:rPr>
          <w:rFonts w:hint="eastAsia"/>
          <w:b/>
          <w:bCs/>
          <w:spacing w:val="-1"/>
          <w:sz w:val="24"/>
          <w:lang w:val="en-US" w:eastAsia="zh-CN"/>
        </w:rPr>
      </w:pPr>
      <w:r>
        <w:rPr>
          <w:rFonts w:hint="eastAsia"/>
          <w:b/>
          <w:bCs/>
          <w:spacing w:val="-1"/>
          <w:sz w:val="24"/>
          <w:lang w:val="en-US" w:eastAsia="zh-CN"/>
        </w:rPr>
        <w:t>四、处罚措施：</w:t>
      </w:r>
    </w:p>
    <w:p w14:paraId="4B7A4665">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1、监理人怠于履行工程安全控制监理工作，导致施工现场出现工程安全事故的，每次酌情扣减不高于5000元的监理费。因监理人原因未尽到监理职责，发生了人身伤亡的安全事故，则委托人将扣减监理合同总价的10％作为违约赔偿；</w:t>
      </w:r>
    </w:p>
    <w:p w14:paraId="7B71A487">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2、监理人在工程建设过程中应对各类联系单、工程签证等进行量、价审核并签署明确意见，不得出现含糊其辞、模棱两可的语句。第一次出现类似情况退回重签，第二次出现类似情况或退回重签仍有类似情况的，委托人有权对监理人处于每次500元罚款；</w:t>
      </w:r>
    </w:p>
    <w:p w14:paraId="2981DC8B">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3、联系单、工程款等施工单位上报给监理单位的所有资料需在7天内给予书面意见并上报委托人，如不能按时完成，处以每次500元罚款，逐次累加；</w:t>
      </w:r>
    </w:p>
    <w:p w14:paraId="1BF36CCE">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4、按要求每天上报监理日巡视报表，内容包括施工情况、监理情况、累计施工完成形象进度巡视影像等。如第一次未报，口头警示；第二次起，委托人对监理人处于每次500元的罚款，逐次累加；</w:t>
      </w:r>
    </w:p>
    <w:p w14:paraId="020049A2">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5、总监理工程师及其他监理人员应按承诺到岗，如未经建设单位同意未来现场的，均视为缺岗，总监理工程师罚款800元/天·人，其他监理人员,罚款300元/天·人，均在监理费中直接扣罚；</w:t>
      </w:r>
    </w:p>
    <w:p w14:paraId="3A7D6E08">
      <w:pPr>
        <w:pStyle w:val="18"/>
        <w:numPr>
          <w:ilvl w:val="0"/>
          <w:numId w:val="0"/>
        </w:numPr>
        <w:tabs>
          <w:tab w:val="left" w:pos="1424"/>
        </w:tabs>
        <w:spacing w:before="0" w:after="0" w:line="360" w:lineRule="auto"/>
        <w:ind w:right="0" w:rightChars="0"/>
        <w:jc w:val="left"/>
        <w:rPr>
          <w:rFonts w:hint="eastAsia"/>
          <w:spacing w:val="-1"/>
          <w:sz w:val="24"/>
          <w:lang w:val="en-US" w:eastAsia="zh-CN"/>
        </w:rPr>
      </w:pPr>
      <w:r>
        <w:rPr>
          <w:rFonts w:hint="eastAsia"/>
          <w:spacing w:val="-1"/>
          <w:sz w:val="24"/>
          <w:lang w:val="en-US" w:eastAsia="zh-CN"/>
        </w:rPr>
        <w:t>6、若工程质量不能一次性全部达到合格工程标准，则甲方将罚款监理人1000元/次；发生了重大质量事故，则甲方将罚款监理人2000元/次；发生了特大质量事故，则甲方将罚款监理人5000元/次；在政府相关部门组织的检查中被通报批评的，或因施工中存在质量问题被媒体曝光并经查实的，每发生一起，则甲方将罚款监理人10000元/次；对隐蔽工程的隐蔽过程、下道工序施工完成后难以检查的重点部位，按规定需进行旁站不进行旁站监理的，每次扣减500元/次监理费。</w:t>
      </w:r>
      <w:r>
        <w:rPr>
          <w:rFonts w:hint="eastAsia"/>
          <w:spacing w:val="-1"/>
          <w:sz w:val="24"/>
          <w:lang w:val="en-US" w:eastAsia="zh-CN"/>
        </w:rPr>
        <w:br w:type="textWrapping"/>
      </w:r>
      <w:r>
        <w:rPr>
          <w:rFonts w:hint="eastAsia"/>
          <w:spacing w:val="-1"/>
          <w:sz w:val="24"/>
          <w:lang w:val="en-US" w:eastAsia="zh-CN"/>
        </w:rPr>
        <w:t>五、商务要求</w:t>
      </w:r>
      <w:r>
        <w:rPr>
          <w:rFonts w:hint="eastAsia"/>
          <w:spacing w:val="-1"/>
          <w:sz w:val="24"/>
          <w:lang w:val="en-US" w:eastAsia="zh-CN"/>
        </w:rPr>
        <w:br w:type="textWrapping"/>
      </w:r>
      <w:r>
        <w:rPr>
          <w:rFonts w:hint="eastAsia"/>
          <w:spacing w:val="-1"/>
          <w:sz w:val="24"/>
          <w:lang w:val="en-US" w:eastAsia="zh-CN"/>
        </w:rPr>
        <w:t>1、服务期：合同签订后，一年。</w:t>
      </w:r>
    </w:p>
    <w:p w14:paraId="074A4997">
      <w:pPr>
        <w:pStyle w:val="18"/>
        <w:numPr>
          <w:ilvl w:val="0"/>
          <w:numId w:val="0"/>
        </w:numPr>
        <w:tabs>
          <w:tab w:val="left" w:pos="1424"/>
        </w:tabs>
        <w:spacing w:before="0" w:after="0" w:line="360" w:lineRule="auto"/>
        <w:ind w:right="0" w:rightChars="0"/>
        <w:jc w:val="left"/>
        <w:rPr>
          <w:rFonts w:hint="default"/>
          <w:spacing w:val="-1"/>
          <w:sz w:val="24"/>
          <w:lang w:val="en-US" w:eastAsia="zh-CN"/>
        </w:rPr>
      </w:pPr>
      <w:r>
        <w:rPr>
          <w:rFonts w:hint="eastAsia"/>
          <w:spacing w:val="-1"/>
          <w:sz w:val="24"/>
          <w:lang w:val="en-US" w:eastAsia="zh-CN"/>
        </w:rPr>
        <w:t>2、付款方式：在项目竣工验收合格后，以项目完成结算后的施工最终结算审定价，按照发改价格[2007]670号的收费标准×投标承诺的折扣价格计算监理服务费。每个项目在投标人向采购人开具对应金额的发票后一次性支付该项目监理费的100%。</w:t>
      </w:r>
    </w:p>
    <w:p w14:paraId="31A942F8">
      <w:pPr>
        <w:pStyle w:val="4"/>
        <w:numPr>
          <w:ilvl w:val="0"/>
          <w:numId w:val="0"/>
        </w:numPr>
        <w:spacing w:line="480" w:lineRule="auto"/>
        <w:rPr>
          <w:rFonts w:hint="eastAsia" w:hAnsi="宋体" w:cs="宋体"/>
          <w:sz w:val="24"/>
          <w:lang w:val="en-US" w:eastAsia="zh-CN"/>
        </w:rPr>
      </w:pPr>
    </w:p>
    <w:p w14:paraId="03911BE9">
      <w:pPr>
        <w:pStyle w:val="4"/>
        <w:numPr>
          <w:ilvl w:val="0"/>
          <w:numId w:val="0"/>
        </w:numPr>
        <w:spacing w:line="480" w:lineRule="auto"/>
        <w:rPr>
          <w:rFonts w:hAnsi="宋体" w:cs="宋体"/>
          <w:sz w:val="24"/>
        </w:rPr>
      </w:pPr>
      <w:r>
        <w:rPr>
          <w:rFonts w:hint="eastAsia" w:hAnsi="宋体" w:cs="宋体"/>
          <w:sz w:val="24"/>
          <w:lang w:val="en-US" w:eastAsia="zh-CN"/>
        </w:rPr>
        <w:t>二．</w:t>
      </w:r>
      <w:r>
        <w:rPr>
          <w:rFonts w:hint="eastAsia" w:hAnsi="宋体" w:cs="宋体"/>
          <w:sz w:val="24"/>
          <w:lang w:eastAsia="zh-CN"/>
        </w:rPr>
        <w:t>调研</w:t>
      </w:r>
      <w:r>
        <w:rPr>
          <w:rFonts w:hAnsi="宋体" w:cs="宋体"/>
          <w:sz w:val="24"/>
        </w:rPr>
        <w:t>响应文件内容：</w:t>
      </w:r>
    </w:p>
    <w:p w14:paraId="3A329196">
      <w:pPr>
        <w:pStyle w:val="4"/>
        <w:numPr>
          <w:ilvl w:val="0"/>
          <w:numId w:val="3"/>
        </w:numPr>
        <w:spacing w:line="480" w:lineRule="auto"/>
        <w:ind w:firstLine="0"/>
        <w:rPr>
          <w:rFonts w:hAnsi="宋体" w:cs="宋体"/>
          <w:sz w:val="24"/>
        </w:rPr>
      </w:pPr>
      <w:r>
        <w:rPr>
          <w:rFonts w:hAnsi="宋体" w:cs="宋体"/>
          <w:sz w:val="24"/>
        </w:rPr>
        <w:t>项目名称，报名公司，报名联系人及联系电话，报价，公司</w:t>
      </w:r>
      <w:r>
        <w:rPr>
          <w:rFonts w:hint="eastAsia" w:hAnsi="宋体" w:cs="宋体"/>
          <w:sz w:val="24"/>
          <w:lang w:val="en-US" w:eastAsia="zh-CN"/>
        </w:rPr>
        <w:t>营业执照复印件</w:t>
      </w:r>
      <w:r>
        <w:rPr>
          <w:rFonts w:hAnsi="宋体" w:cs="宋体"/>
          <w:sz w:val="24"/>
        </w:rPr>
        <w:t>，文件需盖有公司公章。</w:t>
      </w:r>
    </w:p>
    <w:p w14:paraId="1570FE83">
      <w:pPr>
        <w:pStyle w:val="4"/>
        <w:numPr>
          <w:ilvl w:val="0"/>
          <w:numId w:val="3"/>
        </w:numPr>
        <w:spacing w:line="480" w:lineRule="auto"/>
        <w:ind w:firstLine="0"/>
        <w:rPr>
          <w:rFonts w:hAnsi="宋体" w:cs="宋体"/>
          <w:sz w:val="24"/>
          <w:lang w:eastAsia="zh-CN"/>
        </w:rPr>
      </w:pPr>
      <w:r>
        <w:rPr>
          <w:rFonts w:hint="eastAsia" w:hAnsi="宋体" w:cs="宋体"/>
          <w:sz w:val="24"/>
          <w:lang w:val="en-US" w:eastAsia="zh-CN"/>
        </w:rPr>
        <w:t>相关业绩证明</w:t>
      </w:r>
    </w:p>
    <w:p w14:paraId="2A7D27FD">
      <w:pPr>
        <w:pStyle w:val="4"/>
        <w:numPr>
          <w:ilvl w:val="0"/>
          <w:numId w:val="3"/>
        </w:numPr>
        <w:spacing w:line="480" w:lineRule="auto"/>
        <w:ind w:firstLine="0"/>
        <w:rPr>
          <w:rFonts w:hAnsi="宋体" w:cs="宋体"/>
          <w:sz w:val="24"/>
          <w:lang w:eastAsia="zh-CN"/>
        </w:rPr>
      </w:pPr>
      <w:r>
        <w:rPr>
          <w:rFonts w:hint="eastAsia" w:hAnsi="宋体" w:cs="宋体"/>
          <w:sz w:val="24"/>
          <w:lang w:val="en-US" w:eastAsia="zh-CN"/>
        </w:rPr>
        <w:t>响应文件要求密封完整。</w:t>
      </w:r>
    </w:p>
    <w:p w14:paraId="5189AE28">
      <w:pPr>
        <w:pStyle w:val="4"/>
        <w:spacing w:line="480" w:lineRule="auto"/>
        <w:ind w:firstLine="0"/>
        <w:rPr>
          <w:rFonts w:hint="default" w:hAnsi="宋体" w:cs="宋体"/>
          <w:sz w:val="24"/>
          <w:highlight w:val="none"/>
        </w:rPr>
      </w:pPr>
      <w:r>
        <w:rPr>
          <w:rFonts w:hAnsi="宋体" w:cs="宋体"/>
          <w:sz w:val="24"/>
          <w:highlight w:val="none"/>
        </w:rPr>
        <w:t xml:space="preserve">三. </w:t>
      </w:r>
      <w:r>
        <w:rPr>
          <w:rFonts w:hint="eastAsia" w:hAnsi="宋体" w:cs="宋体"/>
          <w:sz w:val="24"/>
          <w:highlight w:val="none"/>
          <w:lang w:eastAsia="zh-CN"/>
        </w:rPr>
        <w:t>调研</w:t>
      </w:r>
      <w:r>
        <w:rPr>
          <w:rFonts w:hAnsi="宋体" w:cs="宋体"/>
          <w:sz w:val="24"/>
          <w:highlight w:val="none"/>
        </w:rPr>
        <w:t>响应文件提交截止时间：</w:t>
      </w:r>
      <w:bookmarkStart w:id="0" w:name="B22_谈判响应文件提交截止日期"/>
      <w:bookmarkEnd w:id="0"/>
      <w:r>
        <w:rPr>
          <w:rFonts w:hAnsi="宋体" w:cs="宋体"/>
          <w:b/>
          <w:sz w:val="24"/>
          <w:highlight w:val="none"/>
          <w:u w:val="single"/>
        </w:rPr>
        <w:t>202</w:t>
      </w:r>
      <w:r>
        <w:rPr>
          <w:rFonts w:hint="eastAsia" w:hAnsi="宋体" w:cs="宋体"/>
          <w:b/>
          <w:sz w:val="24"/>
          <w:highlight w:val="none"/>
          <w:u w:val="single"/>
          <w:lang w:val="en-US" w:eastAsia="zh-CN"/>
        </w:rPr>
        <w:t>5</w:t>
      </w:r>
      <w:r>
        <w:rPr>
          <w:rFonts w:hAnsi="宋体" w:cs="宋体"/>
          <w:b/>
          <w:sz w:val="24"/>
          <w:highlight w:val="none"/>
          <w:u w:val="single"/>
        </w:rPr>
        <w:t xml:space="preserve">年 </w:t>
      </w:r>
      <w:r>
        <w:rPr>
          <w:rFonts w:hint="eastAsia" w:hAnsi="宋体" w:cs="宋体"/>
          <w:b/>
          <w:sz w:val="24"/>
          <w:highlight w:val="none"/>
          <w:u w:val="single"/>
          <w:lang w:val="en-US" w:eastAsia="zh-CN"/>
        </w:rPr>
        <w:t>9</w:t>
      </w:r>
      <w:r>
        <w:rPr>
          <w:rFonts w:hAnsi="宋体" w:cs="宋体"/>
          <w:b/>
          <w:sz w:val="24"/>
          <w:highlight w:val="none"/>
          <w:u w:val="single"/>
        </w:rPr>
        <w:t>月</w:t>
      </w:r>
      <w:r>
        <w:rPr>
          <w:rFonts w:hint="eastAsia" w:hAnsi="宋体" w:cs="宋体"/>
          <w:b/>
          <w:sz w:val="24"/>
          <w:highlight w:val="none"/>
          <w:u w:val="single"/>
          <w:lang w:val="en-US" w:eastAsia="zh-CN"/>
        </w:rPr>
        <w:t>30</w:t>
      </w:r>
      <w:r>
        <w:rPr>
          <w:rFonts w:hAnsi="宋体" w:cs="宋体"/>
          <w:b/>
          <w:sz w:val="24"/>
          <w:highlight w:val="none"/>
          <w:u w:val="single"/>
        </w:rPr>
        <w:t xml:space="preserve">日 </w:t>
      </w:r>
      <w:r>
        <w:rPr>
          <w:rFonts w:hint="eastAsia" w:hAnsi="宋体" w:cs="宋体"/>
          <w:b/>
          <w:sz w:val="24"/>
          <w:highlight w:val="none"/>
          <w:u w:val="single"/>
          <w:lang w:val="en-US" w:eastAsia="zh-CN"/>
        </w:rPr>
        <w:t>17</w:t>
      </w:r>
      <w:r>
        <w:rPr>
          <w:rFonts w:hAnsi="宋体" w:cs="宋体"/>
          <w:b/>
          <w:sz w:val="24"/>
          <w:highlight w:val="none"/>
          <w:u w:val="single"/>
        </w:rPr>
        <w:t>时00 分（北京时间）</w:t>
      </w:r>
    </w:p>
    <w:p w14:paraId="5A995D0E">
      <w:pPr>
        <w:pStyle w:val="4"/>
        <w:spacing w:line="480" w:lineRule="auto"/>
        <w:ind w:firstLine="0"/>
        <w:rPr>
          <w:rFonts w:hint="default" w:hAnsi="宋体" w:cs="宋体"/>
          <w:sz w:val="24"/>
          <w:highlight w:val="none"/>
        </w:rPr>
      </w:pPr>
      <w:r>
        <w:rPr>
          <w:rFonts w:hAnsi="宋体" w:cs="宋体"/>
          <w:sz w:val="24"/>
          <w:highlight w:val="none"/>
        </w:rPr>
        <w:t xml:space="preserve">四. </w:t>
      </w:r>
      <w:r>
        <w:rPr>
          <w:rFonts w:hint="eastAsia" w:hAnsi="宋体" w:cs="宋体"/>
          <w:sz w:val="24"/>
          <w:highlight w:val="none"/>
          <w:lang w:eastAsia="zh-CN"/>
        </w:rPr>
        <w:t>调研</w:t>
      </w:r>
      <w:r>
        <w:rPr>
          <w:rFonts w:hAnsi="宋体" w:cs="宋体"/>
          <w:sz w:val="24"/>
          <w:highlight w:val="none"/>
        </w:rPr>
        <w:t>响应文件提交地址：</w:t>
      </w:r>
      <w:r>
        <w:rPr>
          <w:rFonts w:hAnsi="宋体" w:cs="宋体"/>
          <w:b/>
          <w:sz w:val="24"/>
          <w:highlight w:val="none"/>
          <w:u w:val="single"/>
        </w:rPr>
        <w:t xml:space="preserve"> </w:t>
      </w:r>
      <w:r>
        <w:rPr>
          <w:rFonts w:hint="eastAsia" w:hAnsi="宋体" w:cs="宋体"/>
          <w:b/>
          <w:sz w:val="24"/>
          <w:highlight w:val="none"/>
          <w:u w:val="single"/>
          <w:lang w:val="en-US" w:eastAsia="zh-CN"/>
        </w:rPr>
        <w:t>杭州市第一人民医院桐庐医院行政楼411办公室（邮寄地址）</w:t>
      </w:r>
    </w:p>
    <w:p w14:paraId="3A926429">
      <w:pPr>
        <w:pStyle w:val="4"/>
        <w:spacing w:line="480" w:lineRule="auto"/>
        <w:ind w:firstLine="0"/>
        <w:rPr>
          <w:rFonts w:hint="default" w:hAnsi="宋体" w:eastAsia="宋体" w:cs="宋体"/>
          <w:sz w:val="24"/>
          <w:highlight w:val="none"/>
          <w:lang w:val="en-US" w:eastAsia="zh-CN"/>
        </w:rPr>
      </w:pPr>
      <w:r>
        <w:rPr>
          <w:rFonts w:hAnsi="宋体" w:cs="宋体"/>
          <w:sz w:val="24"/>
          <w:highlight w:val="none"/>
        </w:rPr>
        <w:t>五.</w:t>
      </w:r>
      <w:r>
        <w:rPr>
          <w:rFonts w:hint="eastAsia" w:hAnsi="宋体" w:cs="宋体"/>
          <w:sz w:val="24"/>
          <w:highlight w:val="none"/>
          <w:lang w:eastAsia="zh-CN"/>
        </w:rPr>
        <w:t>调研</w:t>
      </w:r>
      <w:r>
        <w:rPr>
          <w:rFonts w:hAnsi="宋体" w:cs="宋体"/>
          <w:sz w:val="24"/>
          <w:highlight w:val="none"/>
        </w:rPr>
        <w:t>时间：</w:t>
      </w:r>
      <w:bookmarkStart w:id="1" w:name="B25_谈判时间日期"/>
      <w:bookmarkEnd w:id="1"/>
      <w:r>
        <w:rPr>
          <w:rFonts w:hint="eastAsia" w:hAnsi="宋体" w:cs="宋体"/>
          <w:b/>
          <w:sz w:val="24"/>
          <w:highlight w:val="none"/>
          <w:u w:val="single"/>
          <w:lang w:val="en-US" w:eastAsia="zh-CN"/>
        </w:rPr>
        <w:t>另行通知（响应文件封面请注明联系人及联系电话）</w:t>
      </w:r>
    </w:p>
    <w:p w14:paraId="1343916B">
      <w:pPr>
        <w:pStyle w:val="4"/>
        <w:spacing w:line="480" w:lineRule="auto"/>
        <w:ind w:firstLine="0"/>
        <w:rPr>
          <w:rFonts w:hint="default" w:hAnsi="宋体" w:cs="宋体"/>
          <w:sz w:val="24"/>
          <w:highlight w:val="none"/>
        </w:rPr>
      </w:pPr>
      <w:r>
        <w:rPr>
          <w:rFonts w:hAnsi="宋体" w:cs="宋体"/>
          <w:sz w:val="24"/>
          <w:highlight w:val="none"/>
        </w:rPr>
        <w:t>六.</w:t>
      </w:r>
      <w:r>
        <w:rPr>
          <w:rFonts w:hint="eastAsia" w:hAnsi="宋体" w:cs="宋体"/>
          <w:sz w:val="24"/>
          <w:highlight w:val="none"/>
          <w:lang w:eastAsia="zh-CN"/>
        </w:rPr>
        <w:t>调研</w:t>
      </w:r>
      <w:r>
        <w:rPr>
          <w:rFonts w:hAnsi="宋体" w:cs="宋体"/>
          <w:sz w:val="24"/>
          <w:highlight w:val="none"/>
        </w:rPr>
        <w:t>地址：</w:t>
      </w:r>
      <w:r>
        <w:rPr>
          <w:rFonts w:hint="eastAsia" w:hAnsi="宋体" w:cs="宋体"/>
          <w:b/>
          <w:sz w:val="24"/>
          <w:highlight w:val="none"/>
          <w:u w:val="single"/>
          <w:lang w:val="en-US" w:eastAsia="zh-CN"/>
        </w:rPr>
        <w:t>另行通知</w:t>
      </w:r>
    </w:p>
    <w:p w14:paraId="6B45BC0B">
      <w:pPr>
        <w:pStyle w:val="4"/>
        <w:spacing w:line="480" w:lineRule="auto"/>
        <w:ind w:firstLine="0"/>
        <w:rPr>
          <w:rFonts w:hint="default" w:hAnsi="宋体" w:eastAsia="宋体" w:cs="宋体"/>
          <w:sz w:val="24"/>
          <w:lang w:val="en-US" w:eastAsia="zh-CN"/>
        </w:rPr>
      </w:pPr>
      <w:r>
        <w:rPr>
          <w:rFonts w:hAnsi="宋体" w:cs="宋体"/>
          <w:sz w:val="24"/>
        </w:rPr>
        <w:t>七.采购人名称：杭州市第一人民医院</w:t>
      </w:r>
      <w:r>
        <w:rPr>
          <w:rFonts w:hint="eastAsia" w:hAnsi="宋体" w:cs="宋体"/>
          <w:sz w:val="24"/>
          <w:lang w:val="en-US" w:eastAsia="zh-CN"/>
        </w:rPr>
        <w:t>桐庐医院</w:t>
      </w:r>
    </w:p>
    <w:p w14:paraId="5F074172">
      <w:pPr>
        <w:pStyle w:val="4"/>
        <w:spacing w:line="480" w:lineRule="auto"/>
        <w:ind w:firstLine="464" w:firstLineChars="200"/>
        <w:rPr>
          <w:rFonts w:hint="default" w:hAnsi="宋体" w:eastAsia="宋体" w:cs="宋体"/>
          <w:sz w:val="24"/>
          <w:lang w:val="en-US" w:eastAsia="zh-CN"/>
        </w:rPr>
      </w:pPr>
      <w:r>
        <w:rPr>
          <w:rFonts w:hAnsi="宋体" w:cs="宋体"/>
          <w:sz w:val="24"/>
        </w:rPr>
        <w:t>地址：</w:t>
      </w:r>
      <w:r>
        <w:rPr>
          <w:rFonts w:hint="eastAsia" w:hAnsi="宋体" w:cs="宋体"/>
          <w:sz w:val="24"/>
          <w:lang w:val="en-US" w:eastAsia="zh-CN"/>
        </w:rPr>
        <w:t>桐庐县梅林路899号</w:t>
      </w:r>
    </w:p>
    <w:p w14:paraId="0E0A0108">
      <w:pPr>
        <w:pStyle w:val="4"/>
        <w:spacing w:line="480" w:lineRule="auto"/>
        <w:ind w:firstLine="464" w:firstLineChars="200"/>
        <w:rPr>
          <w:rFonts w:hint="default" w:hAnsi="宋体" w:cs="宋体"/>
          <w:sz w:val="24"/>
        </w:rPr>
      </w:pPr>
      <w:r>
        <w:rPr>
          <w:rFonts w:hAnsi="宋体" w:cs="宋体"/>
          <w:sz w:val="24"/>
        </w:rPr>
        <w:t>联系人：</w:t>
      </w:r>
      <w:r>
        <w:rPr>
          <w:rFonts w:hAnsi="宋体" w:cs="宋体"/>
          <w:sz w:val="24"/>
          <w:u w:val="single"/>
        </w:rPr>
        <w:t xml:space="preserve"> </w:t>
      </w:r>
      <w:r>
        <w:rPr>
          <w:rFonts w:hint="eastAsia" w:hAnsi="宋体" w:cs="宋体"/>
          <w:sz w:val="24"/>
          <w:u w:val="single"/>
          <w:lang w:val="en-US" w:eastAsia="zh-CN"/>
        </w:rPr>
        <w:t>徐老师</w:t>
      </w:r>
      <w:r>
        <w:rPr>
          <w:rFonts w:hAnsi="宋体" w:cs="宋体"/>
          <w:sz w:val="24"/>
          <w:u w:val="single"/>
        </w:rPr>
        <w:t xml:space="preserve">   </w:t>
      </w:r>
    </w:p>
    <w:p w14:paraId="1D9E5D09">
      <w:pPr>
        <w:pStyle w:val="4"/>
        <w:spacing w:line="480" w:lineRule="auto"/>
        <w:ind w:firstLine="464" w:firstLineChars="200"/>
        <w:rPr>
          <w:rFonts w:hint="eastAsia" w:hAnsi="宋体" w:cs="宋体"/>
          <w:sz w:val="24"/>
          <w:u w:val="single"/>
          <w:lang w:val="en-US" w:eastAsia="zh-CN"/>
        </w:rPr>
      </w:pPr>
      <w:r>
        <w:rPr>
          <w:rFonts w:hAnsi="宋体" w:cs="宋体"/>
          <w:sz w:val="24"/>
        </w:rPr>
        <w:t>联系电话：</w:t>
      </w:r>
      <w:r>
        <w:rPr>
          <w:rFonts w:hAnsi="宋体" w:cs="宋体"/>
          <w:sz w:val="24"/>
          <w:u w:val="single"/>
        </w:rPr>
        <w:t xml:space="preserve"> </w:t>
      </w:r>
      <w:r>
        <w:rPr>
          <w:rFonts w:hint="eastAsia" w:hAnsi="宋体" w:cs="宋体"/>
          <w:sz w:val="24"/>
          <w:u w:val="single"/>
          <w:lang w:val="en-US" w:eastAsia="zh-CN"/>
        </w:rPr>
        <w:t>0571-64317862</w:t>
      </w:r>
    </w:p>
    <w:p w14:paraId="291C646B">
      <w:pPr>
        <w:pStyle w:val="4"/>
        <w:spacing w:line="480" w:lineRule="auto"/>
        <w:ind w:firstLine="464" w:firstLineChars="200"/>
        <w:rPr>
          <w:rFonts w:hAnsi="宋体" w:cs="宋体"/>
          <w:sz w:val="24"/>
          <w:u w:val="single"/>
          <w:lang w:eastAsia="zh-CN"/>
        </w:rPr>
      </w:pPr>
    </w:p>
    <w:p w14:paraId="6B7950C7">
      <w:pPr>
        <w:pStyle w:val="4"/>
        <w:spacing w:line="480" w:lineRule="auto"/>
        <w:ind w:firstLine="464" w:firstLineChars="200"/>
        <w:rPr>
          <w:rFonts w:hAnsi="宋体" w:cs="宋体"/>
          <w:sz w:val="24"/>
          <w:u w:val="single"/>
          <w:lang w:eastAsia="zh-CN"/>
        </w:rPr>
      </w:pPr>
    </w:p>
    <w:p w14:paraId="06AEB4B9">
      <w:pPr>
        <w:pStyle w:val="4"/>
        <w:spacing w:line="480" w:lineRule="auto"/>
        <w:ind w:firstLine="464" w:firstLineChars="200"/>
        <w:rPr>
          <w:rFonts w:hAnsi="宋体" w:cs="宋体"/>
          <w:sz w:val="24"/>
          <w:u w:val="single"/>
          <w:lang w:eastAsia="zh-CN"/>
        </w:rPr>
      </w:pPr>
    </w:p>
    <w:p w14:paraId="6A434896">
      <w:pPr>
        <w:spacing w:line="579" w:lineRule="exact"/>
        <w:jc w:val="left"/>
        <w:rPr>
          <w:rFonts w:hint="eastAsia" w:ascii="仿宋" w:hAnsi="仿宋" w:eastAsia="仿宋" w:cs="仿宋"/>
          <w:sz w:val="21"/>
          <w:szCs w:val="21"/>
          <w:lang w:val="en-US" w:eastAsia="zh-CN"/>
        </w:rPr>
      </w:pPr>
      <w:bookmarkStart w:id="2" w:name="_GoBack"/>
      <w:bookmarkEnd w:id="2"/>
      <w:r>
        <w:rPr>
          <w:rFonts w:hint="eastAsia" w:ascii="仿宋" w:hAnsi="仿宋" w:eastAsia="仿宋" w:cs="仿宋"/>
          <w:sz w:val="21"/>
          <w:szCs w:val="21"/>
          <w:lang w:val="en-US" w:eastAsia="zh-CN"/>
        </w:rPr>
        <w:t>附件：</w:t>
      </w:r>
    </w:p>
    <w:p w14:paraId="43A00C12">
      <w:pPr>
        <w:spacing w:line="579" w:lineRule="exact"/>
        <w:jc w:val="center"/>
        <w:rPr>
          <w:rFonts w:hint="eastAsia" w:ascii="仿宋" w:hAnsi="仿宋" w:eastAsia="仿宋" w:cs="仿宋"/>
          <w:sz w:val="44"/>
          <w:szCs w:val="44"/>
        </w:rPr>
      </w:pPr>
      <w:r>
        <w:rPr>
          <w:rFonts w:hint="eastAsia" w:ascii="仿宋" w:hAnsi="仿宋" w:eastAsia="仿宋" w:cs="仿宋"/>
          <w:sz w:val="44"/>
          <w:szCs w:val="44"/>
          <w:lang w:val="en-US" w:eastAsia="zh-CN"/>
        </w:rPr>
        <w:t>杭州市第一人民医院桐庐医院</w:t>
      </w:r>
      <w:r>
        <w:rPr>
          <w:rFonts w:hint="eastAsia" w:ascii="仿宋" w:hAnsi="仿宋" w:eastAsia="仿宋" w:cs="仿宋"/>
          <w:sz w:val="44"/>
          <w:szCs w:val="44"/>
        </w:rPr>
        <w:t>年度基建</w:t>
      </w:r>
    </w:p>
    <w:p w14:paraId="21F5CA96">
      <w:pPr>
        <w:spacing w:line="579" w:lineRule="exact"/>
        <w:jc w:val="center"/>
        <w:rPr>
          <w:rFonts w:hint="eastAsia" w:ascii="仿宋" w:hAnsi="仿宋" w:eastAsia="仿宋" w:cs="仿宋"/>
          <w:sz w:val="44"/>
          <w:szCs w:val="44"/>
        </w:rPr>
      </w:pPr>
      <w:r>
        <w:rPr>
          <w:rFonts w:hint="eastAsia" w:ascii="仿宋" w:hAnsi="仿宋" w:eastAsia="仿宋" w:cs="仿宋"/>
          <w:sz w:val="44"/>
          <w:szCs w:val="44"/>
        </w:rPr>
        <w:t>工程监理服务项目市场询价单</w:t>
      </w:r>
    </w:p>
    <w:tbl>
      <w:tblPr>
        <w:tblStyle w:val="8"/>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97"/>
        <w:gridCol w:w="1438"/>
        <w:gridCol w:w="1009"/>
        <w:gridCol w:w="1609"/>
        <w:gridCol w:w="1559"/>
        <w:gridCol w:w="2448"/>
        <w:gridCol w:w="7"/>
      </w:tblGrid>
      <w:tr w14:paraId="14B4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34" w:hRule="atLeast"/>
          <w:jc w:val="center"/>
        </w:trPr>
        <w:tc>
          <w:tcPr>
            <w:tcW w:w="991" w:type="dxa"/>
            <w:vMerge w:val="restart"/>
            <w:vAlign w:val="center"/>
          </w:tcPr>
          <w:p w14:paraId="201926EF">
            <w:pPr>
              <w:spacing w:line="400" w:lineRule="exact"/>
              <w:jc w:val="center"/>
              <w:rPr>
                <w:rFonts w:hint="eastAsia" w:ascii="黑体" w:hAnsi="黑体" w:eastAsia="黑体"/>
                <w:sz w:val="32"/>
                <w:szCs w:val="32"/>
              </w:rPr>
            </w:pPr>
            <w:r>
              <w:rPr>
                <w:rFonts w:hint="eastAsia" w:ascii="黑体" w:hAnsi="黑体" w:eastAsia="黑体"/>
                <w:sz w:val="32"/>
                <w:szCs w:val="32"/>
              </w:rPr>
              <w:t>询价对象来源</w:t>
            </w:r>
          </w:p>
        </w:tc>
        <w:tc>
          <w:tcPr>
            <w:tcW w:w="897" w:type="dxa"/>
            <w:vAlign w:val="center"/>
          </w:tcPr>
          <w:p w14:paraId="142A375C">
            <w:pPr>
              <w:jc w:val="center"/>
              <w:rPr>
                <w:rFonts w:hint="eastAsia" w:ascii="楷体_GB2312" w:eastAsia="楷体_GB2312"/>
                <w:sz w:val="32"/>
                <w:szCs w:val="32"/>
              </w:rPr>
            </w:pPr>
            <w:r>
              <w:rPr>
                <w:rFonts w:hint="eastAsia" w:ascii="楷体_GB2312" w:eastAsia="楷体_GB2312"/>
                <w:sz w:val="32"/>
                <w:szCs w:val="32"/>
              </w:rPr>
              <w:t>姓名</w:t>
            </w:r>
          </w:p>
        </w:tc>
        <w:tc>
          <w:tcPr>
            <w:tcW w:w="1438" w:type="dxa"/>
            <w:vAlign w:val="center"/>
          </w:tcPr>
          <w:p w14:paraId="13D925CD">
            <w:pPr>
              <w:jc w:val="center"/>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tc>
        <w:tc>
          <w:tcPr>
            <w:tcW w:w="1009" w:type="dxa"/>
            <w:vAlign w:val="center"/>
          </w:tcPr>
          <w:p w14:paraId="31C692ED">
            <w:pPr>
              <w:jc w:val="center"/>
              <w:rPr>
                <w:rFonts w:hint="eastAsia" w:ascii="楷体_GB2312" w:eastAsia="楷体_GB2312"/>
                <w:sz w:val="32"/>
                <w:szCs w:val="32"/>
              </w:rPr>
            </w:pPr>
            <w:r>
              <w:rPr>
                <w:rFonts w:hint="eastAsia" w:ascii="楷体_GB2312" w:eastAsia="楷体_GB2312"/>
                <w:sz w:val="32"/>
                <w:szCs w:val="32"/>
              </w:rPr>
              <w:t>职务</w:t>
            </w:r>
          </w:p>
        </w:tc>
        <w:tc>
          <w:tcPr>
            <w:tcW w:w="1609" w:type="dxa"/>
            <w:vAlign w:val="center"/>
          </w:tcPr>
          <w:p w14:paraId="5D85E3B0">
            <w:pPr>
              <w:jc w:val="center"/>
              <w:rPr>
                <w:rFonts w:hint="eastAsia" w:ascii="仿宋" w:hAnsi="仿宋" w:eastAsia="仿宋"/>
                <w:sz w:val="32"/>
                <w:szCs w:val="32"/>
              </w:rPr>
            </w:pPr>
          </w:p>
        </w:tc>
        <w:tc>
          <w:tcPr>
            <w:tcW w:w="1559" w:type="dxa"/>
            <w:vAlign w:val="center"/>
          </w:tcPr>
          <w:p w14:paraId="1A1198A6">
            <w:pPr>
              <w:jc w:val="center"/>
              <w:rPr>
                <w:rFonts w:hint="eastAsia" w:ascii="楷体_GB2312" w:eastAsia="楷体_GB2312"/>
                <w:sz w:val="32"/>
                <w:szCs w:val="32"/>
              </w:rPr>
            </w:pPr>
            <w:r>
              <w:rPr>
                <w:rFonts w:hint="eastAsia" w:ascii="楷体_GB2312" w:eastAsia="楷体_GB2312"/>
                <w:sz w:val="32"/>
                <w:szCs w:val="32"/>
              </w:rPr>
              <w:t>联系电话</w:t>
            </w:r>
          </w:p>
        </w:tc>
        <w:tc>
          <w:tcPr>
            <w:tcW w:w="2448" w:type="dxa"/>
            <w:vAlign w:val="center"/>
          </w:tcPr>
          <w:p w14:paraId="41B7EBD6">
            <w:pPr>
              <w:jc w:val="center"/>
              <w:rPr>
                <w:rFonts w:hint="eastAsia" w:ascii="仿宋" w:hAnsi="仿宋" w:eastAsia="仿宋"/>
                <w:sz w:val="32"/>
                <w:szCs w:val="32"/>
              </w:rPr>
            </w:pPr>
          </w:p>
        </w:tc>
      </w:tr>
      <w:tr w14:paraId="3464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821" w:hRule="atLeast"/>
          <w:jc w:val="center"/>
        </w:trPr>
        <w:tc>
          <w:tcPr>
            <w:tcW w:w="991" w:type="dxa"/>
            <w:vMerge w:val="continue"/>
            <w:vAlign w:val="center"/>
          </w:tcPr>
          <w:p w14:paraId="7FE72AA1">
            <w:pPr>
              <w:spacing w:line="400" w:lineRule="exact"/>
              <w:jc w:val="center"/>
              <w:rPr>
                <w:rFonts w:ascii="黑体" w:hAnsi="黑体" w:eastAsia="黑体"/>
                <w:sz w:val="32"/>
                <w:szCs w:val="32"/>
              </w:rPr>
            </w:pPr>
          </w:p>
        </w:tc>
        <w:tc>
          <w:tcPr>
            <w:tcW w:w="897" w:type="dxa"/>
            <w:vAlign w:val="center"/>
          </w:tcPr>
          <w:p w14:paraId="61EA4DA1">
            <w:pPr>
              <w:jc w:val="center"/>
              <w:rPr>
                <w:rFonts w:hint="eastAsia" w:ascii="楷体_GB2312" w:eastAsia="楷体_GB2312"/>
                <w:sz w:val="32"/>
                <w:szCs w:val="32"/>
              </w:rPr>
            </w:pPr>
            <w:r>
              <w:rPr>
                <w:rFonts w:hint="eastAsia" w:ascii="楷体_GB2312" w:eastAsia="楷体_GB2312"/>
                <w:sz w:val="32"/>
                <w:szCs w:val="32"/>
              </w:rPr>
              <w:t>地址</w:t>
            </w:r>
          </w:p>
        </w:tc>
        <w:tc>
          <w:tcPr>
            <w:tcW w:w="8063" w:type="dxa"/>
            <w:gridSpan w:val="5"/>
            <w:vAlign w:val="center"/>
          </w:tcPr>
          <w:p w14:paraId="2A7CC26D">
            <w:pPr>
              <w:jc w:val="center"/>
              <w:rPr>
                <w:rFonts w:hint="eastAsia" w:ascii="仿宋" w:hAnsi="仿宋" w:eastAsia="仿宋"/>
                <w:sz w:val="32"/>
                <w:szCs w:val="32"/>
              </w:rPr>
            </w:pPr>
          </w:p>
        </w:tc>
      </w:tr>
      <w:tr w14:paraId="313D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3" w:hRule="atLeast"/>
          <w:jc w:val="center"/>
        </w:trPr>
        <w:tc>
          <w:tcPr>
            <w:tcW w:w="991" w:type="dxa"/>
            <w:vAlign w:val="center"/>
          </w:tcPr>
          <w:p w14:paraId="4AF75193">
            <w:pPr>
              <w:spacing w:line="400" w:lineRule="exact"/>
              <w:jc w:val="center"/>
              <w:rPr>
                <w:rFonts w:hint="eastAsia" w:ascii="黑体" w:hAnsi="黑体" w:eastAsia="黑体"/>
                <w:sz w:val="32"/>
                <w:szCs w:val="32"/>
              </w:rPr>
            </w:pPr>
            <w:r>
              <w:rPr>
                <w:rFonts w:hint="eastAsia" w:ascii="黑体" w:hAnsi="黑体" w:eastAsia="黑体"/>
                <w:sz w:val="32"/>
                <w:szCs w:val="32"/>
              </w:rPr>
              <w:t>主要内容</w:t>
            </w:r>
          </w:p>
        </w:tc>
        <w:tc>
          <w:tcPr>
            <w:tcW w:w="8967" w:type="dxa"/>
            <w:gridSpan w:val="7"/>
            <w:vAlign w:val="top"/>
          </w:tcPr>
          <w:p w14:paraId="5C3D75BD">
            <w:pPr>
              <w:jc w:val="left"/>
              <w:rPr>
                <w:rFonts w:hint="default" w:ascii="仿宋_GB2312" w:eastAsia="仿宋_GB2312"/>
                <w:sz w:val="32"/>
                <w:szCs w:val="32"/>
                <w:lang w:val="en-US" w:eastAsia="zh-CN"/>
              </w:rPr>
            </w:pPr>
            <w:r>
              <w:rPr>
                <w:rFonts w:hint="eastAsia" w:ascii="仿宋_GB2312" w:eastAsia="仿宋_GB2312"/>
                <w:sz w:val="32"/>
                <w:szCs w:val="32"/>
              </w:rPr>
              <w:t>项目名称：</w:t>
            </w:r>
            <w:r>
              <w:rPr>
                <w:rFonts w:hint="eastAsia" w:ascii="仿宋_GB2312" w:eastAsia="仿宋_GB2312"/>
                <w:sz w:val="32"/>
                <w:szCs w:val="32"/>
                <w:lang w:val="en-US" w:eastAsia="zh-CN"/>
              </w:rPr>
              <w:t>杭州市第一人民医院监理服务项目</w:t>
            </w:r>
          </w:p>
          <w:p w14:paraId="54D071CB">
            <w:pPr>
              <w:jc w:val="left"/>
              <w:rPr>
                <w:rFonts w:hint="eastAsia" w:ascii="仿宋_GB2312" w:eastAsia="仿宋_GB2312"/>
                <w:sz w:val="32"/>
                <w:szCs w:val="32"/>
              </w:rPr>
            </w:pPr>
            <w:r>
              <w:rPr>
                <w:rFonts w:hint="eastAsia" w:ascii="仿宋_GB2312" w:eastAsia="仿宋_GB2312"/>
                <w:sz w:val="32"/>
                <w:szCs w:val="32"/>
                <w:lang w:val="en-US" w:eastAsia="zh-CN"/>
              </w:rPr>
              <w:t>调研</w:t>
            </w:r>
            <w:r>
              <w:rPr>
                <w:rFonts w:hint="eastAsia" w:ascii="仿宋_GB2312" w:eastAsia="仿宋_GB2312"/>
                <w:sz w:val="32"/>
                <w:szCs w:val="32"/>
              </w:rPr>
              <w:t>内容：</w:t>
            </w:r>
            <w:r>
              <w:rPr>
                <w:rFonts w:hint="eastAsia" w:ascii="仿宋_GB2312" w:eastAsia="仿宋_GB2312"/>
                <w:sz w:val="32"/>
                <w:szCs w:val="32"/>
                <w:lang w:val="en-US" w:eastAsia="zh-CN"/>
              </w:rPr>
              <w:t>本项目</w:t>
            </w:r>
            <w:r>
              <w:rPr>
                <w:rFonts w:hint="eastAsia" w:ascii="仿宋_GB2312" w:eastAsia="仿宋_GB2312"/>
                <w:sz w:val="32"/>
                <w:szCs w:val="32"/>
              </w:rPr>
              <w:t>建设地点位于杭州市浣纱路261号，计划通过</w:t>
            </w:r>
            <w:r>
              <w:rPr>
                <w:rFonts w:hint="eastAsia" w:ascii="仿宋_GB2312" w:eastAsia="仿宋_GB2312"/>
                <w:sz w:val="32"/>
                <w:szCs w:val="32"/>
                <w:lang w:val="en-US" w:eastAsia="zh-CN"/>
              </w:rPr>
              <w:t>公开招标确定一家监理单位为杭州市第一人民医院进行年度监理</w:t>
            </w:r>
            <w:r>
              <w:rPr>
                <w:rFonts w:hint="eastAsia" w:ascii="仿宋_GB2312" w:eastAsia="仿宋_GB2312"/>
                <w:sz w:val="32"/>
                <w:szCs w:val="32"/>
              </w:rPr>
              <w:t>。请报价单位对照</w:t>
            </w:r>
            <w:r>
              <w:rPr>
                <w:rFonts w:hint="eastAsia" w:ascii="仿宋_GB2312" w:eastAsia="仿宋_GB2312"/>
                <w:sz w:val="32"/>
                <w:szCs w:val="32"/>
                <w:lang w:val="en-US" w:eastAsia="zh-CN"/>
              </w:rPr>
              <w:t>调研</w:t>
            </w:r>
            <w:r>
              <w:rPr>
                <w:rFonts w:hint="eastAsia" w:ascii="仿宋_GB2312" w:eastAsia="仿宋_GB2312"/>
                <w:sz w:val="32"/>
                <w:szCs w:val="32"/>
              </w:rPr>
              <w:t>内容进行报价，按《建设工程监理与相关服务收费管理规定》 (发改价格[2007]670号)规定的收费标准</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 xml:space="preserve"> %</w:t>
            </w:r>
            <w:r>
              <w:rPr>
                <w:rFonts w:hint="eastAsia" w:ascii="仿宋_GB2312" w:eastAsia="仿宋_GB2312"/>
                <w:b/>
                <w:bCs/>
                <w:color w:val="auto"/>
                <w:sz w:val="32"/>
                <w:szCs w:val="32"/>
              </w:rPr>
              <w:t>（即折扣）</w:t>
            </w:r>
          </w:p>
          <w:p w14:paraId="014198FC">
            <w:pPr>
              <w:jc w:val="left"/>
              <w:rPr>
                <w:rFonts w:hint="eastAsia" w:ascii="仿宋_GB2312" w:eastAsia="仿宋_GB2312"/>
                <w:sz w:val="32"/>
                <w:szCs w:val="32"/>
              </w:rPr>
            </w:pPr>
            <w:r>
              <w:rPr>
                <w:rFonts w:hint="eastAsia" w:ascii="仿宋_GB2312" w:eastAsia="仿宋_GB2312"/>
                <w:sz w:val="32"/>
                <w:szCs w:val="32"/>
                <w:lang w:val="en-US" w:eastAsia="zh-CN"/>
              </w:rPr>
              <w:t>监理</w:t>
            </w:r>
            <w:r>
              <w:rPr>
                <w:rFonts w:hint="eastAsia" w:ascii="仿宋_GB2312" w:eastAsia="仿宋_GB2312"/>
                <w:sz w:val="32"/>
                <w:szCs w:val="32"/>
              </w:rPr>
              <w:t>服务费优惠率：</w:t>
            </w:r>
          </w:p>
          <w:p w14:paraId="5FFB62DB">
            <w:pPr>
              <w:jc w:val="left"/>
              <w:rPr>
                <w:rFonts w:hint="eastAsia" w:ascii="仿宋" w:hAnsi="仿宋" w:eastAsia="仿宋"/>
                <w:sz w:val="32"/>
                <w:szCs w:val="32"/>
              </w:rPr>
            </w:pPr>
          </w:p>
          <w:p w14:paraId="0D09BA94">
            <w:pPr>
              <w:ind w:firstLine="1280" w:firstLineChars="400"/>
              <w:jc w:val="left"/>
              <w:rPr>
                <w:rFonts w:hint="eastAsia" w:ascii="仿宋" w:hAnsi="仿宋" w:eastAsia="仿宋"/>
                <w:sz w:val="32"/>
                <w:szCs w:val="32"/>
              </w:rPr>
            </w:pPr>
            <w:r>
              <w:rPr>
                <w:rFonts w:hint="eastAsia" w:ascii="仿宋" w:hAnsi="仿宋" w:eastAsia="仿宋"/>
                <w:sz w:val="32"/>
                <w:szCs w:val="32"/>
              </w:rPr>
              <w:t xml:space="preserve">                 公司</w:t>
            </w:r>
            <w:r>
              <w:rPr>
                <w:rFonts w:hint="eastAsia" w:ascii="仿宋" w:hAnsi="仿宋" w:eastAsia="仿宋"/>
                <w:sz w:val="32"/>
                <w:szCs w:val="32"/>
                <w:lang w:val="en-US" w:eastAsia="zh-CN"/>
              </w:rPr>
              <w:t>名称</w:t>
            </w:r>
            <w:r>
              <w:rPr>
                <w:rFonts w:hint="eastAsia" w:ascii="仿宋" w:hAnsi="仿宋" w:eastAsia="仿宋"/>
                <w:sz w:val="32"/>
                <w:szCs w:val="32"/>
                <w:lang w:eastAsia="zh-CN"/>
              </w:rPr>
              <w:t>（</w:t>
            </w:r>
            <w:r>
              <w:rPr>
                <w:rFonts w:hint="eastAsia" w:ascii="仿宋" w:hAnsi="仿宋" w:eastAsia="仿宋"/>
                <w:sz w:val="32"/>
                <w:szCs w:val="32"/>
                <w:lang w:val="en-US" w:eastAsia="zh-CN"/>
              </w:rPr>
              <w:t>盖章</w:t>
            </w:r>
            <w:r>
              <w:rPr>
                <w:rFonts w:hint="eastAsia" w:ascii="仿宋" w:hAnsi="仿宋" w:eastAsia="仿宋"/>
                <w:sz w:val="32"/>
                <w:szCs w:val="32"/>
                <w:lang w:eastAsia="zh-CN"/>
              </w:rPr>
              <w:t>）</w:t>
            </w:r>
            <w:r>
              <w:rPr>
                <w:rFonts w:hint="eastAsia" w:ascii="仿宋" w:hAnsi="仿宋" w:eastAsia="仿宋"/>
                <w:sz w:val="32"/>
                <w:szCs w:val="32"/>
              </w:rPr>
              <w:t>：</w:t>
            </w:r>
          </w:p>
        </w:tc>
      </w:tr>
      <w:tr w14:paraId="617A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91" w:type="dxa"/>
            <w:vAlign w:val="center"/>
          </w:tcPr>
          <w:p w14:paraId="6E920B7C">
            <w:pPr>
              <w:spacing w:line="400" w:lineRule="exact"/>
              <w:jc w:val="center"/>
              <w:rPr>
                <w:rFonts w:hint="eastAsia" w:ascii="黑体" w:hAnsi="黑体" w:eastAsia="黑体"/>
                <w:sz w:val="32"/>
                <w:szCs w:val="32"/>
              </w:rPr>
            </w:pPr>
            <w:r>
              <w:rPr>
                <w:rFonts w:hint="eastAsia" w:ascii="黑体" w:hAnsi="黑体" w:eastAsia="黑体"/>
                <w:sz w:val="32"/>
                <w:szCs w:val="32"/>
              </w:rPr>
              <w:t>签字</w:t>
            </w:r>
          </w:p>
        </w:tc>
        <w:tc>
          <w:tcPr>
            <w:tcW w:w="8967" w:type="dxa"/>
            <w:gridSpan w:val="7"/>
            <w:vAlign w:val="center"/>
          </w:tcPr>
          <w:p w14:paraId="29F69087">
            <w:pPr>
              <w:jc w:val="left"/>
              <w:rPr>
                <w:rFonts w:hint="eastAsia" w:ascii="楷体_GB2312" w:eastAsia="楷体_GB2312"/>
                <w:sz w:val="32"/>
                <w:szCs w:val="32"/>
              </w:rPr>
            </w:pPr>
            <w:r>
              <w:rPr>
                <w:rFonts w:hint="eastAsia" w:ascii="楷体_GB2312" w:eastAsia="楷体_GB2312"/>
                <w:sz w:val="32"/>
                <w:szCs w:val="32"/>
              </w:rPr>
              <w:t>询价小组</w:t>
            </w:r>
            <w:r>
              <w:rPr>
                <w:rFonts w:ascii="楷体_GB2312" w:eastAsia="楷体_GB2312"/>
                <w:sz w:val="32"/>
                <w:szCs w:val="32"/>
              </w:rPr>
              <w:t>成员</w:t>
            </w:r>
            <w:r>
              <w:rPr>
                <w:rFonts w:hint="eastAsia" w:ascii="楷体_GB2312" w:eastAsia="楷体_GB2312"/>
                <w:sz w:val="32"/>
                <w:szCs w:val="32"/>
              </w:rPr>
              <w:t>：</w:t>
            </w:r>
          </w:p>
          <w:p w14:paraId="621D3F9F">
            <w:pPr>
              <w:jc w:val="left"/>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年 </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 月</w:t>
            </w:r>
            <w:r>
              <w:rPr>
                <w:rFonts w:hint="eastAsia" w:ascii="楷体_GB2312" w:eastAsia="楷体_GB2312"/>
                <w:sz w:val="32"/>
                <w:szCs w:val="32"/>
                <w:lang w:val="en-US" w:eastAsia="zh-CN"/>
              </w:rPr>
              <w:t xml:space="preserve">  </w:t>
            </w:r>
            <w:r>
              <w:rPr>
                <w:rFonts w:hint="eastAsia" w:ascii="楷体_GB2312" w:eastAsia="楷体_GB2312"/>
                <w:sz w:val="32"/>
                <w:szCs w:val="32"/>
              </w:rPr>
              <w:t xml:space="preserve"> 日</w:t>
            </w:r>
          </w:p>
        </w:tc>
      </w:tr>
      <w:tr w14:paraId="0501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Align w:val="center"/>
          </w:tcPr>
          <w:p w14:paraId="75605C91">
            <w:pPr>
              <w:spacing w:line="400" w:lineRule="exact"/>
              <w:jc w:val="center"/>
              <w:rPr>
                <w:rFonts w:hint="eastAsia" w:ascii="黑体" w:hAnsi="黑体" w:eastAsia="黑体"/>
                <w:color w:val="000000"/>
                <w:sz w:val="32"/>
                <w:szCs w:val="32"/>
              </w:rPr>
            </w:pPr>
            <w:r>
              <w:rPr>
                <w:rFonts w:hint="eastAsia" w:ascii="黑体" w:hAnsi="黑体" w:eastAsia="黑体"/>
                <w:color w:val="000000"/>
                <w:sz w:val="32"/>
                <w:szCs w:val="32"/>
              </w:rPr>
              <w:t>备注</w:t>
            </w:r>
          </w:p>
        </w:tc>
        <w:tc>
          <w:tcPr>
            <w:tcW w:w="8967" w:type="dxa"/>
            <w:gridSpan w:val="7"/>
            <w:vAlign w:val="center"/>
          </w:tcPr>
          <w:p w14:paraId="68053509">
            <w:pPr>
              <w:rPr>
                <w:rFonts w:hint="eastAsia" w:ascii="仿宋_GB2312" w:eastAsia="仿宋_GB2312"/>
                <w:color w:val="000000"/>
                <w:sz w:val="32"/>
                <w:szCs w:val="32"/>
              </w:rPr>
            </w:pPr>
            <w:r>
              <w:rPr>
                <w:rFonts w:hint="eastAsia" w:ascii="仿宋_GB2312" w:eastAsia="仿宋_GB2312"/>
                <w:color w:val="000000"/>
                <w:sz w:val="32"/>
                <w:szCs w:val="32"/>
              </w:rPr>
              <w:t>报价商家需提供相应资质文件</w:t>
            </w:r>
          </w:p>
        </w:tc>
      </w:tr>
    </w:tbl>
    <w:p w14:paraId="356BDF7B">
      <w:pPr>
        <w:pStyle w:val="4"/>
        <w:spacing w:line="480" w:lineRule="auto"/>
        <w:ind w:firstLine="464" w:firstLineChars="200"/>
        <w:rPr>
          <w:rFonts w:hAnsi="宋体" w:cs="宋体"/>
          <w:sz w:val="24"/>
          <w:u w:val="singl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ì.">
    <w:altName w:val="宋体"/>
    <w:panose1 w:val="00000000000000000000"/>
    <w:charset w:val="86"/>
    <w:family w:val="roman"/>
    <w:pitch w:val="default"/>
    <w:sig w:usb0="00000000" w:usb1="00000000" w:usb2="00000000" w:usb3="00000000" w:csb0="00040001" w:csb1="00000000"/>
  </w:font>
  <w:font w:name="方正小标宋简体">
    <w:altName w:val="方正舒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 w:name="汉仪润圆-65简">
    <w:panose1 w:val="00020600040101010101"/>
    <w:charset w:val="86"/>
    <w:family w:val="auto"/>
    <w:pitch w:val="default"/>
    <w:sig w:usb0="A00002BF" w:usb1="1ACF7CFA" w:usb2="00000016"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CD5EBA"/>
    <w:multiLevelType w:val="singleLevel"/>
    <w:tmpl w:val="35CD5EBA"/>
    <w:lvl w:ilvl="0" w:tentative="0">
      <w:start w:val="2"/>
      <w:numFmt w:val="chineseCounting"/>
      <w:suff w:val="nothing"/>
      <w:lvlText w:val="（%1）"/>
      <w:lvlJc w:val="left"/>
      <w:rPr>
        <w:rFonts w:hint="eastAsia"/>
      </w:rPr>
    </w:lvl>
  </w:abstractNum>
  <w:abstractNum w:abstractNumId="1">
    <w:nsid w:val="62232913"/>
    <w:multiLevelType w:val="singleLevel"/>
    <w:tmpl w:val="62232913"/>
    <w:lvl w:ilvl="0" w:tentative="0">
      <w:start w:val="1"/>
      <w:numFmt w:val="chineseCounting"/>
      <w:suff w:val="nothing"/>
      <w:lvlText w:val="（%1）"/>
      <w:lvlJc w:val="left"/>
      <w:rPr>
        <w:rFonts w:hint="eastAsia"/>
      </w:rPr>
    </w:lvl>
  </w:abstractNum>
  <w:abstractNum w:abstractNumId="2">
    <w:nsid w:val="6D83437D"/>
    <w:multiLevelType w:val="singleLevel"/>
    <w:tmpl w:val="6D83437D"/>
    <w:lvl w:ilvl="0" w:tentative="0">
      <w:start w:val="1"/>
      <w:numFmt w:val="chineseCounting"/>
      <w:lvlText w:val="%1."/>
      <w:lvlJc w:val="left"/>
      <w:pPr>
        <w:tabs>
          <w:tab w:val="left" w:pos="312"/>
        </w:tabs>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mNTUwODA0OGNkMWNhZGZkY2NiYmJkZTA0ODNjMWUifQ=="/>
  </w:docVars>
  <w:rsids>
    <w:rsidRoot w:val="004A3395"/>
    <w:rsid w:val="0014088C"/>
    <w:rsid w:val="00473031"/>
    <w:rsid w:val="004A3395"/>
    <w:rsid w:val="006C3AFA"/>
    <w:rsid w:val="008B14F9"/>
    <w:rsid w:val="00AE7F2A"/>
    <w:rsid w:val="06A116ED"/>
    <w:rsid w:val="078F59E9"/>
    <w:rsid w:val="0CBD4AAC"/>
    <w:rsid w:val="0E4B55FF"/>
    <w:rsid w:val="10055A61"/>
    <w:rsid w:val="10D81800"/>
    <w:rsid w:val="122550DC"/>
    <w:rsid w:val="12304DBB"/>
    <w:rsid w:val="127C1DAC"/>
    <w:rsid w:val="12887BC1"/>
    <w:rsid w:val="18016611"/>
    <w:rsid w:val="18250DC5"/>
    <w:rsid w:val="1C93342E"/>
    <w:rsid w:val="1FE16F3F"/>
    <w:rsid w:val="21486EDD"/>
    <w:rsid w:val="22121B4F"/>
    <w:rsid w:val="25F405EF"/>
    <w:rsid w:val="2CCD25C7"/>
    <w:rsid w:val="3687239A"/>
    <w:rsid w:val="37AA7A71"/>
    <w:rsid w:val="3C9B2F6E"/>
    <w:rsid w:val="3CA4552E"/>
    <w:rsid w:val="3E3A0C4F"/>
    <w:rsid w:val="43843E44"/>
    <w:rsid w:val="4AEB0CE2"/>
    <w:rsid w:val="504A1A7A"/>
    <w:rsid w:val="54436F0C"/>
    <w:rsid w:val="548D63DA"/>
    <w:rsid w:val="5D3D4DD3"/>
    <w:rsid w:val="5FC40784"/>
    <w:rsid w:val="63B079EF"/>
    <w:rsid w:val="6727190D"/>
    <w:rsid w:val="6D1547B0"/>
    <w:rsid w:val="6DCC3677"/>
    <w:rsid w:val="76581B90"/>
    <w:rsid w:val="7A771BB1"/>
    <w:rsid w:val="7E9C7D0E"/>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pPr>
    <w:rPr>
      <w:rFonts w:ascii="Times New Roman" w:eastAsia="宋体"/>
      <w:sz w:val="21"/>
    </w:rPr>
  </w:style>
  <w:style w:type="paragraph" w:styleId="3">
    <w:name w:val="Body Text"/>
    <w:basedOn w:val="1"/>
    <w:qFormat/>
    <w:uiPriority w:val="1"/>
    <w:pPr>
      <w:ind w:left="223"/>
    </w:pPr>
    <w:rPr>
      <w:rFonts w:ascii="宋体" w:hAnsi="宋体" w:eastAsia="宋体" w:cs="宋体"/>
      <w:sz w:val="24"/>
      <w:szCs w:val="24"/>
      <w:lang w:val="en-US" w:eastAsia="zh-CN" w:bidi="ar-SA"/>
    </w:rPr>
  </w:style>
  <w:style w:type="paragraph" w:styleId="4">
    <w:name w:val="Body Text Indent"/>
    <w:basedOn w:val="1"/>
    <w:link w:val="15"/>
    <w:qFormat/>
    <w:uiPriority w:val="0"/>
    <w:pPr>
      <w:spacing w:line="200" w:lineRule="exact"/>
      <w:ind w:firstLine="301"/>
    </w:pPr>
    <w:rPr>
      <w:rFonts w:hint="eastAsia" w:ascii="宋体" w:hAnsi="Courier New"/>
      <w:spacing w:val="-4"/>
      <w:kern w:val="0"/>
      <w:sz w:val="18"/>
      <w:szCs w:val="20"/>
    </w:rPr>
  </w:style>
  <w:style w:type="paragraph" w:styleId="5">
    <w:name w:val="Plain Text"/>
    <w:basedOn w:val="1"/>
    <w:link w:val="17"/>
    <w:qFormat/>
    <w:uiPriority w:val="0"/>
    <w:pPr>
      <w:spacing w:beforeLines="50" w:afterLines="50" w:line="400" w:lineRule="exact"/>
    </w:pPr>
    <w:rPr>
      <w:rFonts w:ascii="宋体" w:hAnsi="Courier New"/>
      <w:sz w:val="24"/>
    </w:rPr>
  </w:style>
  <w:style w:type="paragraph" w:styleId="6">
    <w:name w:val="footer"/>
    <w:basedOn w:val="1"/>
    <w:link w:val="14"/>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Strong"/>
    <w:basedOn w:val="9"/>
    <w:qFormat/>
    <w:uiPriority w:val="0"/>
    <w:rPr>
      <w:b/>
    </w:rPr>
  </w:style>
  <w:style w:type="paragraph" w:customStyle="1" w:styleId="11">
    <w:name w:val="Default"/>
    <w:next w:val="12"/>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1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正文文本缩进 Char"/>
    <w:basedOn w:val="9"/>
    <w:link w:val="4"/>
    <w:qFormat/>
    <w:uiPriority w:val="0"/>
    <w:rPr>
      <w:rFonts w:ascii="宋体" w:hAnsi="Courier New" w:eastAsia="宋体" w:cs="Times New Roman"/>
      <w:spacing w:val="-4"/>
      <w:kern w:val="0"/>
      <w:sz w:val="18"/>
      <w:szCs w:val="20"/>
    </w:rPr>
  </w:style>
  <w:style w:type="character" w:customStyle="1" w:styleId="16">
    <w:name w:val="纯文本 Char"/>
    <w:basedOn w:val="9"/>
    <w:link w:val="5"/>
    <w:semiHidden/>
    <w:qFormat/>
    <w:uiPriority w:val="99"/>
    <w:rPr>
      <w:rFonts w:ascii="宋体" w:hAnsi="Courier New" w:eastAsia="宋体" w:cs="Courier New"/>
      <w:szCs w:val="21"/>
    </w:rPr>
  </w:style>
  <w:style w:type="character" w:customStyle="1" w:styleId="17">
    <w:name w:val="纯文本 Char2"/>
    <w:link w:val="5"/>
    <w:qFormat/>
    <w:uiPriority w:val="0"/>
    <w:rPr>
      <w:rFonts w:ascii="宋体" w:hAnsi="Courier New" w:eastAsia="宋体" w:cs="Times New Roman"/>
      <w:sz w:val="24"/>
      <w:szCs w:val="24"/>
    </w:rPr>
  </w:style>
  <w:style w:type="paragraph" w:styleId="18">
    <w:name w:val="List Paragraph"/>
    <w:basedOn w:val="1"/>
    <w:qFormat/>
    <w:uiPriority w:val="1"/>
    <w:pPr>
      <w:ind w:left="223" w:hanging="601"/>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3550</Words>
  <Characters>3684</Characters>
  <Lines>2</Lines>
  <Paragraphs>1</Paragraphs>
  <TotalTime>0</TotalTime>
  <ScaleCrop>false</ScaleCrop>
  <LinksUpToDate>false</LinksUpToDate>
  <CharactersWithSpaces>3800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2024-08-05T14:44:00Z</dcterms:created>
  <dc:creator>NTKO</dc:creator>
  <cp:lastModifiedBy>Change for change</cp:lastModifiedBy>
  <cp:lastPrinted>2025-03-18T08:54:00Z</cp:lastPrinted>
  <dcterms:modified xsi:type="dcterms:W3CDTF">2025-09-26T01:10:42Z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343825E46825490A86D283A45C962ED6_13</vt:lpwstr>
  </property>
  <property fmtid="{D5CDD505-2E9C-101B-9397-08002B2CF9AE}" pid="4" name="KSOTemplateDocerSaveRecord">
    <vt:lpwstr>eyJoZGlkIjoiYmQ5NTljYTg3YTAwODM3ZjdiZmIzYzRkOWI3YTlhODAiLCJ1c2VySWQiOiIyMTI5MTk5ODMifQ==</vt:lpwstr>
  </property>
</Properties>
</file>